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English 1A | Reading and Composition | 4 units | spring 2017</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Instructor:</w:t>
      </w:r>
      <w:r w:rsidRPr="00224F64">
        <w:rPr>
          <w:rFonts w:ascii="Verdana" w:eastAsia="Times New Roman" w:hAnsi="Verdana" w:cs="Times New Roman"/>
          <w:color w:val="2D3B45"/>
          <w:sz w:val="21"/>
          <w:szCs w:val="21"/>
        </w:rPr>
        <w:t> Mr. Garza</w:t>
      </w:r>
      <w:proofErr w:type="gramStart"/>
      <w:r w:rsidRPr="00224F64">
        <w:rPr>
          <w:rFonts w:ascii="Verdana" w:eastAsia="Times New Roman" w:hAnsi="Verdana" w:cs="Times New Roman"/>
          <w:color w:val="2D3B45"/>
          <w:sz w:val="21"/>
          <w:szCs w:val="21"/>
        </w:rPr>
        <w:t>  </w:t>
      </w:r>
      <w:r w:rsidRPr="00224F64">
        <w:rPr>
          <w:rFonts w:ascii="Verdana" w:eastAsia="Times New Roman" w:hAnsi="Verdana" w:cs="Times New Roman"/>
          <w:b/>
          <w:bCs/>
          <w:color w:val="2D3B45"/>
          <w:sz w:val="21"/>
          <w:szCs w:val="21"/>
        </w:rPr>
        <w:t>Office</w:t>
      </w:r>
      <w:proofErr w:type="gramEnd"/>
      <w:r w:rsidRPr="00224F64">
        <w:rPr>
          <w:rFonts w:ascii="Verdana" w:eastAsia="Times New Roman" w:hAnsi="Verdana" w:cs="Times New Roman"/>
          <w:b/>
          <w:bCs/>
          <w:color w:val="2D3B45"/>
          <w:sz w:val="21"/>
          <w:szCs w:val="21"/>
        </w:rPr>
        <w:t>:</w:t>
      </w:r>
      <w:r w:rsidRPr="00224F64">
        <w:rPr>
          <w:rFonts w:ascii="Verdana" w:eastAsia="Times New Roman" w:hAnsi="Verdana" w:cs="Times New Roman"/>
          <w:color w:val="2D3B45"/>
          <w:sz w:val="21"/>
          <w:szCs w:val="21"/>
        </w:rPr>
        <w:t> Annex 2 </w:t>
      </w:r>
      <w:r w:rsidRPr="00224F64">
        <w:rPr>
          <w:rFonts w:ascii="Verdana" w:eastAsia="Times New Roman" w:hAnsi="Verdana" w:cs="Times New Roman"/>
          <w:b/>
          <w:bCs/>
          <w:color w:val="2D3B45"/>
          <w:sz w:val="21"/>
          <w:szCs w:val="21"/>
        </w:rPr>
        <w:t>Phone:</w:t>
      </w:r>
      <w:r w:rsidRPr="00224F64">
        <w:rPr>
          <w:rFonts w:ascii="Verdana" w:eastAsia="Times New Roman" w:hAnsi="Verdana" w:cs="Times New Roman"/>
          <w:color w:val="2D3B45"/>
          <w:sz w:val="21"/>
          <w:szCs w:val="21"/>
        </w:rPr>
        <w:t> 638-0300 ext. 3308</w:t>
      </w:r>
    </w:p>
    <w:p w:rsidR="00224F64" w:rsidRPr="00224F64" w:rsidRDefault="00224F64" w:rsidP="00224F64">
      <w:pPr>
        <w:spacing w:before="180" w:after="180" w:line="240" w:lineRule="auto"/>
        <w:rPr>
          <w:rFonts w:ascii="Verdana" w:eastAsia="Times New Roman" w:hAnsi="Verdana" w:cs="Times New Roman"/>
          <w:color w:val="2D3B45"/>
          <w:sz w:val="21"/>
          <w:szCs w:val="21"/>
        </w:rPr>
      </w:pPr>
      <w:proofErr w:type="spellStart"/>
      <w:r w:rsidRPr="00224F64">
        <w:rPr>
          <w:rFonts w:ascii="Verdana" w:eastAsia="Times New Roman" w:hAnsi="Verdana" w:cs="Times New Roman"/>
          <w:b/>
          <w:bCs/>
          <w:color w:val="2D3B45"/>
          <w:sz w:val="21"/>
          <w:szCs w:val="21"/>
        </w:rPr>
        <w:t>Hrs</w:t>
      </w:r>
      <w:proofErr w:type="spellEnd"/>
      <w:r w:rsidRPr="00224F64">
        <w:rPr>
          <w:rFonts w:ascii="Verdana" w:eastAsia="Times New Roman" w:hAnsi="Verdana" w:cs="Times New Roman"/>
          <w:b/>
          <w:bCs/>
          <w:color w:val="2D3B45"/>
          <w:sz w:val="21"/>
          <w:szCs w:val="21"/>
        </w:rPr>
        <w:t>: </w:t>
      </w:r>
      <w:r w:rsidRPr="00224F64">
        <w:rPr>
          <w:rFonts w:ascii="Verdana" w:eastAsia="Times New Roman" w:hAnsi="Verdana" w:cs="Times New Roman"/>
          <w:color w:val="2D3B45"/>
          <w:sz w:val="21"/>
          <w:szCs w:val="21"/>
        </w:rPr>
        <w:t>MW 1:00-2:00; Fri 12-1(virtual) </w:t>
      </w:r>
      <w:r w:rsidRPr="00224F64">
        <w:rPr>
          <w:rFonts w:ascii="Verdana" w:eastAsia="Times New Roman" w:hAnsi="Verdana" w:cs="Times New Roman"/>
          <w:b/>
          <w:bCs/>
          <w:color w:val="2D3B45"/>
          <w:sz w:val="21"/>
          <w:szCs w:val="21"/>
        </w:rPr>
        <w:t>email: </w:t>
      </w:r>
      <w:hyperlink r:id="rId6" w:history="1">
        <w:r w:rsidRPr="00224F64">
          <w:rPr>
            <w:rFonts w:ascii="Verdana" w:eastAsia="Times New Roman" w:hAnsi="Verdana" w:cs="Times New Roman"/>
            <w:color w:val="0060C1"/>
            <w:sz w:val="21"/>
            <w:szCs w:val="21"/>
          </w:rPr>
          <w:t>rick.garza@reedleycollege.edu </w:t>
        </w:r>
      </w:hyperlink>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Course Description</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Course Outcomes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Upon successful completion of the course, the student will be able to:</w:t>
      </w:r>
    </w:p>
    <w:p w:rsidR="00224F64" w:rsidRPr="00224F64" w:rsidRDefault="00224F64" w:rsidP="00224F64">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Write a documented research paper of at least 1000 words that includes: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 sophisticated introduction, multiple body paragraphs, and conclusion</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 clearly defined, arguable thesis sentence</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supporting details that exhibit critical thinking and use credible secondary sources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correct usage of MLA format, including a works cited page</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sentences that exhibit a command of the complex/compound with minimal comma splices, sentence fuses, fragments, and mechanics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controlled and sophisticated word choice</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writing in third person/universal</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an avoidance of logical fallacies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demonstrating an awareness of purpose and audience</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appropriate and purposeful use of quotations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correct in-text citations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an annotated bibliography of multiple sources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an avoidance of intentional and unintentional plagiarism</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Complete a timed essay independently in class</w:t>
      </w:r>
    </w:p>
    <w:p w:rsidR="00224F64" w:rsidRPr="00224F64" w:rsidRDefault="00224F64" w:rsidP="00224F64">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Summarize and comprehend college level prose (will include a full reading)</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Required Texts: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i/>
          <w:iCs/>
          <w:color w:val="2D3B45"/>
          <w:sz w:val="21"/>
          <w:szCs w:val="21"/>
        </w:rPr>
        <w:t>The Writer’s Presence</w:t>
      </w:r>
      <w:r w:rsidRPr="00224F64">
        <w:rPr>
          <w:rFonts w:ascii="Verdana" w:eastAsia="Times New Roman" w:hAnsi="Verdana" w:cs="Times New Roman"/>
          <w:color w:val="2D3B45"/>
          <w:sz w:val="21"/>
          <w:szCs w:val="21"/>
        </w:rPr>
        <w:t>, 8</w:t>
      </w:r>
      <w:r w:rsidRPr="00224F64">
        <w:rPr>
          <w:rFonts w:ascii="Verdana" w:eastAsia="Times New Roman" w:hAnsi="Verdana" w:cs="Times New Roman"/>
          <w:color w:val="2D3B45"/>
          <w:sz w:val="16"/>
          <w:szCs w:val="16"/>
          <w:vertAlign w:val="superscript"/>
        </w:rPr>
        <w:t>th</w:t>
      </w:r>
      <w:r w:rsidRPr="00224F64">
        <w:rPr>
          <w:rFonts w:ascii="Verdana" w:eastAsia="Times New Roman" w:hAnsi="Verdana" w:cs="Times New Roman"/>
          <w:color w:val="2D3B45"/>
          <w:sz w:val="21"/>
          <w:szCs w:val="21"/>
        </w:rPr>
        <w:t> ed., (ISBN: 978-1-457-66446-5) Bedford/St. Martin’s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i/>
          <w:iCs/>
          <w:color w:val="2D3B45"/>
          <w:sz w:val="21"/>
          <w:szCs w:val="21"/>
        </w:rPr>
        <w:t>Tortilla Curtain</w:t>
      </w:r>
      <w:r w:rsidRPr="00224F64">
        <w:rPr>
          <w:rFonts w:ascii="Verdana" w:eastAsia="Times New Roman" w:hAnsi="Verdana" w:cs="Times New Roman"/>
          <w:color w:val="2D3B45"/>
          <w:sz w:val="21"/>
          <w:szCs w:val="21"/>
        </w:rPr>
        <w:t>, T.C. Boyle (ISBN: 978-0140238280) Penguin Books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i/>
          <w:iCs/>
          <w:color w:val="2D3B45"/>
          <w:sz w:val="21"/>
          <w:szCs w:val="21"/>
        </w:rPr>
        <w:t>A Pocket Style Manual</w:t>
      </w:r>
      <w:r w:rsidRPr="00224F64">
        <w:rPr>
          <w:rFonts w:ascii="Verdana" w:eastAsia="Times New Roman" w:hAnsi="Verdana" w:cs="Times New Roman"/>
          <w:color w:val="2D3B45"/>
          <w:sz w:val="21"/>
          <w:szCs w:val="21"/>
        </w:rPr>
        <w:t>, 7</w:t>
      </w:r>
      <w:r w:rsidRPr="00224F64">
        <w:rPr>
          <w:rFonts w:ascii="Verdana" w:eastAsia="Times New Roman" w:hAnsi="Verdana" w:cs="Times New Roman"/>
          <w:color w:val="2D3B45"/>
          <w:sz w:val="16"/>
          <w:szCs w:val="16"/>
          <w:vertAlign w:val="superscript"/>
        </w:rPr>
        <w:t>th</w:t>
      </w:r>
      <w:r w:rsidRPr="00224F64">
        <w:rPr>
          <w:rFonts w:ascii="Verdana" w:eastAsia="Times New Roman" w:hAnsi="Verdana" w:cs="Times New Roman"/>
          <w:color w:val="2D3B45"/>
          <w:sz w:val="21"/>
          <w:szCs w:val="21"/>
        </w:rPr>
        <w:t> ed</w:t>
      </w:r>
      <w:r w:rsidRPr="00224F64">
        <w:rPr>
          <w:rFonts w:ascii="Verdana" w:eastAsia="Times New Roman" w:hAnsi="Verdana" w:cs="Times New Roman"/>
          <w:i/>
          <w:iCs/>
          <w:color w:val="2D3B45"/>
          <w:sz w:val="21"/>
          <w:szCs w:val="21"/>
        </w:rPr>
        <w:t>.</w:t>
      </w:r>
      <w:r w:rsidRPr="00224F64">
        <w:rPr>
          <w:rFonts w:ascii="Verdana" w:eastAsia="Times New Roman" w:hAnsi="Verdana" w:cs="Times New Roman"/>
          <w:color w:val="2D3B45"/>
          <w:sz w:val="21"/>
          <w:szCs w:val="21"/>
        </w:rPr>
        <w:t>, Hacker (ISBN: 978-1-319-08352-6) Bedford/St. Martin’s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*failure to obtain the required texts prior to the end of the second week of classes will result in a drop from this course.</w:t>
      </w:r>
    </w:p>
    <w:p w:rsidR="00224F64" w:rsidRPr="00224F64" w:rsidRDefault="00224F64" w:rsidP="00224F64">
      <w:pPr>
        <w:spacing w:before="180" w:after="180" w:line="240" w:lineRule="auto"/>
        <w:rPr>
          <w:rFonts w:ascii="Verdana" w:eastAsia="Times New Roman" w:hAnsi="Verdana" w:cs="Times New Roman"/>
          <w:color w:val="2D3B45"/>
          <w:sz w:val="21"/>
          <w:szCs w:val="21"/>
        </w:rPr>
      </w:pPr>
      <w:proofErr w:type="gramStart"/>
      <w:r w:rsidRPr="00224F64">
        <w:rPr>
          <w:rFonts w:ascii="Verdana" w:eastAsia="Times New Roman" w:hAnsi="Verdana" w:cs="Times New Roman"/>
          <w:color w:val="2D3B45"/>
          <w:sz w:val="21"/>
          <w:szCs w:val="21"/>
        </w:rPr>
        <w:t>A notebook for the </w:t>
      </w:r>
      <w:r w:rsidRPr="00224F64">
        <w:rPr>
          <w:rFonts w:ascii="Verdana" w:eastAsia="Times New Roman" w:hAnsi="Verdana" w:cs="Times New Roman"/>
          <w:b/>
          <w:bCs/>
          <w:color w:val="2D3B45"/>
          <w:sz w:val="21"/>
          <w:szCs w:val="21"/>
          <w:u w:val="single"/>
        </w:rPr>
        <w:t>exclusive</w:t>
      </w:r>
      <w:r w:rsidRPr="00224F64">
        <w:rPr>
          <w:rFonts w:ascii="Verdana" w:eastAsia="Times New Roman" w:hAnsi="Verdana" w:cs="Times New Roman"/>
          <w:color w:val="2D3B45"/>
          <w:sz w:val="21"/>
          <w:szCs w:val="21"/>
        </w:rPr>
        <w:t> use of this class, writing utensils for in-class writing assignments.</w:t>
      </w:r>
      <w:proofErr w:type="gramEnd"/>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Strongly Recommended:</w:t>
      </w:r>
    </w:p>
    <w:p w:rsidR="00224F64" w:rsidRPr="00224F64" w:rsidRDefault="00224F64" w:rsidP="00224F64">
      <w:pPr>
        <w:spacing w:before="180" w:after="180" w:line="240" w:lineRule="auto"/>
        <w:rPr>
          <w:rFonts w:ascii="Verdana" w:eastAsia="Times New Roman" w:hAnsi="Verdana" w:cs="Times New Roman"/>
          <w:color w:val="2D3B45"/>
          <w:sz w:val="21"/>
          <w:szCs w:val="21"/>
        </w:rPr>
      </w:pPr>
      <w:proofErr w:type="gramStart"/>
      <w:r w:rsidRPr="00224F64">
        <w:rPr>
          <w:rFonts w:ascii="Verdana" w:eastAsia="Times New Roman" w:hAnsi="Verdana" w:cs="Times New Roman"/>
          <w:color w:val="2D3B45"/>
          <w:sz w:val="21"/>
          <w:szCs w:val="21"/>
        </w:rPr>
        <w:t>A computer, an Internet connection, and a dictionary.</w:t>
      </w:r>
      <w:proofErr w:type="gramEnd"/>
    </w:p>
    <w:p w:rsidR="00224F64" w:rsidRDefault="00224F64" w:rsidP="00224F64">
      <w:pPr>
        <w:spacing w:before="180" w:after="180" w:line="240" w:lineRule="auto"/>
        <w:rPr>
          <w:rFonts w:ascii="Verdana" w:eastAsia="Times New Roman" w:hAnsi="Verdana" w:cs="Times New Roman"/>
          <w:b/>
          <w:bCs/>
          <w:color w:val="2D3B45"/>
          <w:sz w:val="28"/>
          <w:szCs w:val="28"/>
        </w:rPr>
      </w:pPr>
    </w:p>
    <w:p w:rsidR="00224F64" w:rsidRDefault="00224F64" w:rsidP="00224F64">
      <w:pPr>
        <w:spacing w:before="180" w:after="180" w:line="240" w:lineRule="auto"/>
        <w:rPr>
          <w:rFonts w:ascii="Verdana" w:eastAsia="Times New Roman" w:hAnsi="Verdana" w:cs="Times New Roman"/>
          <w:b/>
          <w:bCs/>
          <w:color w:val="2D3B45"/>
          <w:sz w:val="28"/>
          <w:szCs w:val="28"/>
        </w:rPr>
      </w:pPr>
    </w:p>
    <w:p w:rsidR="00224F64" w:rsidRDefault="00224F64" w:rsidP="00224F64">
      <w:pPr>
        <w:spacing w:before="180" w:after="180" w:line="240" w:lineRule="auto"/>
        <w:rPr>
          <w:rFonts w:ascii="Verdana" w:eastAsia="Times New Roman" w:hAnsi="Verdana" w:cs="Times New Roman"/>
          <w:b/>
          <w:bCs/>
          <w:color w:val="2D3B45"/>
          <w:sz w:val="28"/>
          <w:szCs w:val="28"/>
        </w:rPr>
      </w:pP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lastRenderedPageBreak/>
        <w:t>Grading:</w:t>
      </w:r>
    </w:p>
    <w:tbl>
      <w:tblPr>
        <w:tblW w:w="60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3"/>
        <w:gridCol w:w="2597"/>
      </w:tblGrid>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Essay 1</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100 points</w:t>
            </w:r>
          </w:p>
        </w:tc>
      </w:tr>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Essay 2</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100 points</w:t>
            </w:r>
          </w:p>
        </w:tc>
      </w:tr>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Essay 3 + Anno. Bib</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200 points</w:t>
            </w:r>
          </w:p>
        </w:tc>
      </w:tr>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Essay 4</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100 points</w:t>
            </w:r>
          </w:p>
        </w:tc>
      </w:tr>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Workshops</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100 points</w:t>
            </w:r>
          </w:p>
        </w:tc>
      </w:tr>
      <w:tr w:rsidR="00224F64" w:rsidRPr="00224F64" w:rsidTr="00224F64">
        <w:trPr>
          <w:tblCellSpacing w:w="15" w:type="dxa"/>
        </w:trPr>
        <w:tc>
          <w:tcPr>
            <w:tcW w:w="328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Final Exam</w:t>
            </w:r>
          </w:p>
        </w:tc>
        <w:tc>
          <w:tcPr>
            <w:tcW w:w="2475" w:type="dxa"/>
            <w:tcMar>
              <w:top w:w="30" w:type="dxa"/>
              <w:left w:w="30" w:type="dxa"/>
              <w:bottom w:w="30" w:type="dxa"/>
              <w:right w:w="30" w:type="dxa"/>
            </w:tcMar>
            <w:vAlign w:val="center"/>
            <w:hideMark/>
          </w:tcPr>
          <w:p w:rsidR="00224F64" w:rsidRPr="00224F64" w:rsidRDefault="00224F64" w:rsidP="00224F64">
            <w:pPr>
              <w:spacing w:before="180" w:after="180" w:line="240" w:lineRule="auto"/>
              <w:rPr>
                <w:rFonts w:ascii="Verdana" w:eastAsia="Times New Roman" w:hAnsi="Verdana" w:cs="Times New Roman"/>
                <w:color w:val="2D3B45"/>
                <w:sz w:val="17"/>
                <w:szCs w:val="17"/>
              </w:rPr>
            </w:pPr>
            <w:r w:rsidRPr="00224F64">
              <w:rPr>
                <w:rFonts w:ascii="Verdana" w:eastAsia="Times New Roman" w:hAnsi="Verdana" w:cs="Times New Roman"/>
                <w:color w:val="2D3B45"/>
                <w:sz w:val="17"/>
                <w:szCs w:val="17"/>
              </w:rPr>
              <w:t>100 points</w:t>
            </w:r>
          </w:p>
        </w:tc>
      </w:tr>
    </w:tbl>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 </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The grading scale is as follows: (</w:t>
      </w:r>
      <w:r w:rsidRPr="00224F64">
        <w:rPr>
          <w:rFonts w:ascii="Verdana" w:eastAsia="Times New Roman" w:hAnsi="Verdana" w:cs="Times New Roman"/>
          <w:b/>
          <w:bCs/>
          <w:color w:val="2D3B45"/>
          <w:sz w:val="21"/>
          <w:szCs w:val="21"/>
        </w:rPr>
        <w:t>note that scores are </w:t>
      </w:r>
      <w:r w:rsidRPr="00224F64">
        <w:rPr>
          <w:rFonts w:ascii="Verdana" w:eastAsia="Times New Roman" w:hAnsi="Verdana" w:cs="Times New Roman"/>
          <w:b/>
          <w:bCs/>
          <w:color w:val="2D3B45"/>
          <w:sz w:val="21"/>
          <w:szCs w:val="21"/>
          <w:u w:val="single"/>
        </w:rPr>
        <w:t>not</w:t>
      </w:r>
      <w:r w:rsidRPr="00224F64">
        <w:rPr>
          <w:rFonts w:ascii="Verdana" w:eastAsia="Times New Roman" w:hAnsi="Verdana" w:cs="Times New Roman"/>
          <w:b/>
          <w:bCs/>
          <w:color w:val="2D3B45"/>
          <w:sz w:val="21"/>
          <w:szCs w:val="21"/>
        </w:rPr>
        <w:t> rounded</w:t>
      </w:r>
      <w:r w:rsidRPr="00224F64">
        <w:rPr>
          <w:rFonts w:ascii="Verdana" w:eastAsia="Times New Roman" w:hAnsi="Verdana" w:cs="Times New Roman"/>
          <w:color w:val="2D3B45"/>
          <w:sz w:val="21"/>
          <w:szCs w:val="21"/>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0"/>
        <w:gridCol w:w="1755"/>
        <w:gridCol w:w="1755"/>
        <w:gridCol w:w="1755"/>
        <w:gridCol w:w="1770"/>
      </w:tblGrid>
      <w:tr w:rsidR="00224F64" w:rsidRPr="00224F64" w:rsidTr="00224F64">
        <w:trPr>
          <w:tblCellSpacing w:w="15" w:type="dxa"/>
        </w:trPr>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A</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B</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C</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D</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F</w:t>
            </w:r>
          </w:p>
        </w:tc>
      </w:tr>
      <w:tr w:rsidR="00224F64" w:rsidRPr="00224F64" w:rsidTr="00224F64">
        <w:trPr>
          <w:tblCellSpacing w:w="15" w:type="dxa"/>
        </w:trPr>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100-90%</w:t>
            </w:r>
          </w:p>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700-630 points</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89-80%</w:t>
            </w:r>
          </w:p>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629-560 points</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79-70%</w:t>
            </w:r>
          </w:p>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599-490 points</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69-60%</w:t>
            </w:r>
          </w:p>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489-420 points</w:t>
            </w:r>
          </w:p>
        </w:tc>
        <w:tc>
          <w:tcPr>
            <w:tcW w:w="1725" w:type="dxa"/>
            <w:tcMar>
              <w:top w:w="30" w:type="dxa"/>
              <w:left w:w="30" w:type="dxa"/>
              <w:bottom w:w="30" w:type="dxa"/>
              <w:right w:w="30" w:type="dxa"/>
            </w:tcMar>
            <w:vAlign w:val="center"/>
            <w:hideMark/>
          </w:tcPr>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59% &amp; Below</w:t>
            </w:r>
          </w:p>
          <w:p w:rsidR="00224F64" w:rsidRPr="00224F64" w:rsidRDefault="00224F64" w:rsidP="00224F64">
            <w:pPr>
              <w:spacing w:before="180" w:after="180" w:line="240" w:lineRule="auto"/>
              <w:jc w:val="center"/>
              <w:rPr>
                <w:rFonts w:ascii="Verdana" w:eastAsia="Times New Roman" w:hAnsi="Verdana" w:cs="Times New Roman"/>
                <w:color w:val="2D3B45"/>
                <w:sz w:val="17"/>
                <w:szCs w:val="17"/>
              </w:rPr>
            </w:pPr>
            <w:r w:rsidRPr="00224F64">
              <w:rPr>
                <w:rFonts w:ascii="Verdana" w:eastAsia="Times New Roman" w:hAnsi="Verdana" w:cs="Times New Roman"/>
                <w:color w:val="2D3B45"/>
                <w:sz w:val="20"/>
                <w:szCs w:val="20"/>
              </w:rPr>
              <w:t>419-0 points</w:t>
            </w:r>
          </w:p>
        </w:tc>
      </w:tr>
    </w:tbl>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There will be </w:t>
      </w:r>
      <w:r w:rsidRPr="00224F64">
        <w:rPr>
          <w:rFonts w:ascii="Verdana" w:eastAsia="Times New Roman" w:hAnsi="Verdana" w:cs="Times New Roman"/>
          <w:b/>
          <w:bCs/>
          <w:color w:val="2D3B45"/>
          <w:sz w:val="21"/>
          <w:szCs w:val="21"/>
          <w:u w:val="single"/>
        </w:rPr>
        <w:t>no</w:t>
      </w:r>
      <w:r w:rsidRPr="00224F64">
        <w:rPr>
          <w:rFonts w:ascii="Verdana" w:eastAsia="Times New Roman" w:hAnsi="Verdana" w:cs="Times New Roman"/>
          <w:b/>
          <w:bCs/>
          <w:color w:val="2D3B45"/>
          <w:sz w:val="21"/>
          <w:szCs w:val="21"/>
        </w:rPr>
        <w:t> extra credit offered for this course. </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Essays: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All essays must be typed and follow Modern Language Association (MLA) guidelines.  For each essay you will receive a prompt that will outline the specific requirements for each essay.  All essays will be submitted via </w:t>
      </w:r>
      <w:proofErr w:type="spellStart"/>
      <w:r w:rsidRPr="00224F64">
        <w:rPr>
          <w:rFonts w:ascii="Verdana" w:eastAsia="Times New Roman" w:hAnsi="Verdana" w:cs="Times New Roman"/>
          <w:i/>
          <w:iCs/>
          <w:color w:val="2D3B45"/>
          <w:sz w:val="21"/>
          <w:szCs w:val="21"/>
        </w:rPr>
        <w:t>Turnitin</w:t>
      </w:r>
      <w:proofErr w:type="spellEnd"/>
      <w:r w:rsidRPr="00224F64">
        <w:rPr>
          <w:rFonts w:ascii="Verdana" w:eastAsia="Times New Roman" w:hAnsi="Verdana" w:cs="Times New Roman"/>
          <w:color w:val="2D3B45"/>
          <w:sz w:val="21"/>
          <w:szCs w:val="21"/>
        </w:rPr>
        <w:t> on Canvas. For each essay there will be a “workshop” day during which you will be bring in a draft of your essay to workshop (each workshop day is worth 25 points); if you do not participate by bringing your draft in and participating, your final draft will subjected to a 10% reduction of the overall grade and you will not earn the 25 points for the workshop. </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Final Exam:</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This exam will be given on the date of the final examination, as designated in the Schedule of Course.  The exam will cover material from the assigned reading </w:t>
      </w:r>
      <w:r w:rsidRPr="00224F64">
        <w:rPr>
          <w:rFonts w:ascii="Verdana" w:eastAsia="Times New Roman" w:hAnsi="Verdana" w:cs="Times New Roman"/>
          <w:color w:val="2D3B45"/>
          <w:sz w:val="21"/>
          <w:szCs w:val="21"/>
          <w:u w:val="single"/>
        </w:rPr>
        <w:t>and</w:t>
      </w:r>
      <w:r w:rsidRPr="00224F64">
        <w:rPr>
          <w:rFonts w:ascii="Verdana" w:eastAsia="Times New Roman" w:hAnsi="Verdana" w:cs="Times New Roman"/>
          <w:color w:val="2D3B45"/>
          <w:sz w:val="21"/>
          <w:szCs w:val="21"/>
        </w:rPr>
        <w:t> lecture/class discussion, as well as any activities, films, etc. from the course.  No textbooks will be allowed during the exam.  Only original handwritten notes (no photocopies), </w:t>
      </w:r>
      <w:r w:rsidRPr="00224F64">
        <w:rPr>
          <w:rFonts w:ascii="Verdana" w:eastAsia="Times New Roman" w:hAnsi="Verdana" w:cs="Times New Roman"/>
          <w:color w:val="2D3B45"/>
          <w:sz w:val="21"/>
          <w:szCs w:val="21"/>
          <w:u w:val="single"/>
        </w:rPr>
        <w:t>contained in your notebook</w:t>
      </w:r>
      <w:r w:rsidRPr="00224F64">
        <w:rPr>
          <w:rFonts w:ascii="Verdana" w:eastAsia="Times New Roman" w:hAnsi="Verdana" w:cs="Times New Roman"/>
          <w:color w:val="2D3B45"/>
          <w:sz w:val="21"/>
          <w:szCs w:val="21"/>
        </w:rPr>
        <w:t xml:space="preserve">, </w:t>
      </w:r>
      <w:proofErr w:type="gramStart"/>
      <w:r w:rsidRPr="00224F64">
        <w:rPr>
          <w:rFonts w:ascii="Verdana" w:eastAsia="Times New Roman" w:hAnsi="Verdana" w:cs="Times New Roman"/>
          <w:color w:val="2D3B45"/>
          <w:sz w:val="21"/>
          <w:szCs w:val="21"/>
        </w:rPr>
        <w:t>may</w:t>
      </w:r>
      <w:proofErr w:type="gramEnd"/>
      <w:r w:rsidRPr="00224F64">
        <w:rPr>
          <w:rFonts w:ascii="Verdana" w:eastAsia="Times New Roman" w:hAnsi="Verdana" w:cs="Times New Roman"/>
          <w:color w:val="2D3B45"/>
          <w:sz w:val="21"/>
          <w:szCs w:val="21"/>
        </w:rPr>
        <w:t xml:space="preserve"> be used.  Your last name must be clearly printed at the top of each note page (front and back) that you intend to use for the exam. </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Late Work:</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Late work is </w:t>
      </w:r>
      <w:r w:rsidRPr="00224F64">
        <w:rPr>
          <w:rFonts w:ascii="Verdana" w:eastAsia="Times New Roman" w:hAnsi="Verdana" w:cs="Times New Roman"/>
          <w:b/>
          <w:bCs/>
          <w:color w:val="2D3B45"/>
          <w:sz w:val="21"/>
          <w:szCs w:val="21"/>
          <w:u w:val="single"/>
        </w:rPr>
        <w:t>not</w:t>
      </w:r>
      <w:r w:rsidRPr="00224F64">
        <w:rPr>
          <w:rFonts w:ascii="Verdana" w:eastAsia="Times New Roman" w:hAnsi="Verdana" w:cs="Times New Roman"/>
          <w:b/>
          <w:bCs/>
          <w:color w:val="2D3B45"/>
          <w:sz w:val="21"/>
          <w:szCs w:val="21"/>
        </w:rPr>
        <w:t> accepted.</w:t>
      </w:r>
      <w:r w:rsidRPr="00224F64">
        <w:rPr>
          <w:rFonts w:ascii="Verdana" w:eastAsia="Times New Roman" w:hAnsi="Verdana" w:cs="Times New Roman"/>
          <w:color w:val="2D3B45"/>
          <w:sz w:val="21"/>
          <w:szCs w:val="21"/>
        </w:rPr>
        <w:t>  If you miss a class or forget to do an assignment you cannot make up the work.  You should consult the instructor </w:t>
      </w:r>
      <w:r w:rsidRPr="00224F64">
        <w:rPr>
          <w:rFonts w:ascii="Verdana" w:eastAsia="Times New Roman" w:hAnsi="Verdana" w:cs="Times New Roman"/>
          <w:color w:val="2D3B45"/>
          <w:sz w:val="21"/>
          <w:szCs w:val="21"/>
          <w:u w:val="single"/>
        </w:rPr>
        <w:t>prior</w:t>
      </w:r>
      <w:r w:rsidRPr="00224F64">
        <w:rPr>
          <w:rFonts w:ascii="Verdana" w:eastAsia="Times New Roman" w:hAnsi="Verdana" w:cs="Times New Roman"/>
          <w:color w:val="2D3B45"/>
          <w:sz w:val="21"/>
          <w:szCs w:val="21"/>
        </w:rPr>
        <w:t> to missing a due date in order to avoid penalty.  In the event of an unforeseen emergency event, you may make up work with verifiable documentation of the reason for your absence.</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lastRenderedPageBreak/>
        <w:t>Attendance:</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w:t>
      </w:r>
      <w:r w:rsidRPr="00224F64">
        <w:rPr>
          <w:rFonts w:ascii="Verdana" w:eastAsia="Times New Roman" w:hAnsi="Verdana" w:cs="Times New Roman"/>
          <w:b/>
          <w:bCs/>
          <w:color w:val="2D3B45"/>
          <w:sz w:val="21"/>
          <w:szCs w:val="21"/>
        </w:rPr>
        <w:t>coming to class unprepared (including but not limited to: not having your book; not having read the material; being unengaged in the class) will result in an absence</w:t>
      </w:r>
      <w:r w:rsidRPr="00224F64">
        <w:rPr>
          <w:rFonts w:ascii="Verdana" w:eastAsia="Times New Roman" w:hAnsi="Verdana" w:cs="Times New Roman"/>
          <w:color w:val="2D3B45"/>
          <w:sz w:val="21"/>
          <w:szCs w:val="21"/>
        </w:rPr>
        <w:t>.</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Disruptive Behavior and Sexual Harassment</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Reedley College is committed to the principle that instructors and students must treat each other with courtesy and respect, and it will take action to enforce college policies regarding behavior that violates this principle.  These policies are set forth in the student code of conduct at Reedley College.</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Cell phones</w:t>
      </w:r>
      <w:r w:rsidRPr="00224F64">
        <w:rPr>
          <w:rFonts w:ascii="Verdana" w:eastAsia="Times New Roman" w:hAnsi="Verdana" w:cs="Times New Roman"/>
          <w:color w:val="2D3B45"/>
          <w:sz w:val="21"/>
          <w:szCs w:val="21"/>
        </w:rPr>
        <w:t> </w:t>
      </w:r>
      <w:r w:rsidRPr="00224F64">
        <w:rPr>
          <w:rFonts w:ascii="Verdana" w:eastAsia="Times New Roman" w:hAnsi="Verdana" w:cs="Times New Roman"/>
          <w:b/>
          <w:bCs/>
          <w:color w:val="2D3B45"/>
          <w:sz w:val="21"/>
          <w:szCs w:val="21"/>
          <w:u w:val="single"/>
        </w:rPr>
        <w:t>may not be used in the classroom—do not keep them on your desk where they are likely to distract you or anyone in the class.</w:t>
      </w:r>
      <w:r w:rsidRPr="00224F64">
        <w:rPr>
          <w:rFonts w:ascii="Verdana" w:eastAsia="Times New Roman" w:hAnsi="Verdana" w:cs="Times New Roman"/>
          <w:color w:val="2D3B45"/>
          <w:sz w:val="21"/>
          <w:szCs w:val="21"/>
        </w:rPr>
        <w:t> If the vibrate mode of your phone causes it to vibrate to the degree that your classmates can hear this vibration, turn your phone completely off. </w:t>
      </w:r>
      <w:r w:rsidRPr="00224F64">
        <w:rPr>
          <w:rFonts w:ascii="Verdana" w:eastAsia="Times New Roman" w:hAnsi="Verdana" w:cs="Times New Roman"/>
          <w:b/>
          <w:bCs/>
          <w:color w:val="2D3B45"/>
          <w:sz w:val="21"/>
          <w:szCs w:val="21"/>
        </w:rPr>
        <w:t>If you are observed using your phone during class you will be asked to leave the class and marked absent for the day.</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Guests are not allowed</w:t>
      </w:r>
      <w:r w:rsidRPr="00224F64">
        <w:rPr>
          <w:rFonts w:ascii="Verdana" w:eastAsia="Times New Roman" w:hAnsi="Verdana" w:cs="Times New Roman"/>
          <w:color w:val="2D3B45"/>
          <w:sz w:val="21"/>
          <w:szCs w:val="21"/>
        </w:rPr>
        <w:t>.  Only those enrolled in the class will be allowed in the room. </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Important Dates: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Monday, January 16th - Martin Luther King Jr. Day (no classes held, campus closed)</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Friday, January 20th - Last day to drop a full-term class for a refund</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Friday, January 27th - Last day to register for a full-term class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Friday, January 27th - Last day to drop a full-term class to avoid a “W”</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Friday, February 17th - Lincoln Day (no classes held, campus closed)</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Monday, February 20th - Washington Day (no classes held, campus closed)</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Monday, April 10th - Friday, April 14th - Spring Break</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Cheating and Plagiarism</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Academic Dishonesty</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24F64" w:rsidRPr="00224F64" w:rsidRDefault="00224F64" w:rsidP="00224F64">
      <w:pPr>
        <w:spacing w:before="180" w:after="180" w:line="240" w:lineRule="auto"/>
        <w:rPr>
          <w:rFonts w:ascii="Verdana" w:eastAsia="Times New Roman" w:hAnsi="Verdana" w:cs="Times New Roman"/>
          <w:color w:val="2D3B45"/>
          <w:sz w:val="21"/>
          <w:szCs w:val="21"/>
        </w:rPr>
      </w:pPr>
      <w:bookmarkStart w:id="0" w:name="_GoBack"/>
      <w:bookmarkEnd w:id="0"/>
      <w:r w:rsidRPr="00224F64">
        <w:rPr>
          <w:rFonts w:ascii="Verdana" w:eastAsia="Times New Roman" w:hAnsi="Verdana" w:cs="Times New Roman"/>
          <w:b/>
          <w:bCs/>
          <w:color w:val="2D3B45"/>
          <w:sz w:val="21"/>
          <w:szCs w:val="21"/>
        </w:rPr>
        <w:t>Cheating</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w:t>
      </w:r>
      <w:r w:rsidRPr="00224F64">
        <w:rPr>
          <w:rFonts w:ascii="Verdana" w:eastAsia="Times New Roman" w:hAnsi="Verdana" w:cs="Times New Roman"/>
          <w:color w:val="2D3B45"/>
          <w:sz w:val="21"/>
          <w:szCs w:val="21"/>
        </w:rPr>
        <w:lastRenderedPageBreak/>
        <w:t>examination, allowing someone other than the officially enrolled student to represent the student, or failing to disclose research results completely.</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1"/>
          <w:szCs w:val="21"/>
        </w:rPr>
        <w:t>Plagiarism</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Accommodations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Contact and Conferences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b/>
          <w:bCs/>
          <w:color w:val="2D3B45"/>
          <w:sz w:val="28"/>
          <w:szCs w:val="28"/>
        </w:rPr>
        <w:t>Course Changes</w:t>
      </w:r>
    </w:p>
    <w:p w:rsidR="00224F64" w:rsidRPr="00224F64" w:rsidRDefault="00224F64" w:rsidP="00224F64">
      <w:pPr>
        <w:spacing w:before="180" w:after="180" w:line="240" w:lineRule="auto"/>
        <w:rPr>
          <w:rFonts w:ascii="Verdana" w:eastAsia="Times New Roman" w:hAnsi="Verdana" w:cs="Times New Roman"/>
          <w:color w:val="2D3B45"/>
          <w:sz w:val="21"/>
          <w:szCs w:val="21"/>
        </w:rPr>
      </w:pPr>
      <w:r w:rsidRPr="00224F64">
        <w:rPr>
          <w:rFonts w:ascii="Verdana" w:eastAsia="Times New Roman" w:hAnsi="Verdana" w:cs="Times New Roman"/>
          <w:color w:val="2D3B45"/>
          <w:sz w:val="21"/>
          <w:szCs w:val="21"/>
        </w:rPr>
        <w:t>This syllabus may change during the course of the semester to better address the class’s needs. A handout explaining the new expectations will accompany such changes.</w:t>
      </w:r>
    </w:p>
    <w:p w:rsidR="00F55362" w:rsidRDefault="00F55362"/>
    <w:sectPr w:rsidR="00F55362" w:rsidSect="00224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5DAD"/>
    <w:multiLevelType w:val="multilevel"/>
    <w:tmpl w:val="ECB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74635"/>
    <w:multiLevelType w:val="multilevel"/>
    <w:tmpl w:val="60C0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64"/>
    <w:rsid w:val="00224F64"/>
    <w:rsid w:val="00F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garza@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Rick Garza</cp:lastModifiedBy>
  <cp:revision>1</cp:revision>
  <dcterms:created xsi:type="dcterms:W3CDTF">2017-01-17T21:48:00Z</dcterms:created>
  <dcterms:modified xsi:type="dcterms:W3CDTF">2017-01-17T21:49:00Z</dcterms:modified>
</cp:coreProperties>
</file>