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56" w:rsidRDefault="00A93256">
      <w:r>
        <w:t xml:space="preserve">For the 2010 Accreditation process, Reedley </w:t>
      </w:r>
      <w:r w:rsidR="009B5318">
        <w:t>College</w:t>
      </w:r>
      <w:r>
        <w:t xml:space="preserve"> used a revised version of the 2005 Faculty and Staff survey to get satisfaction levels for various processes, services, and perceptions. </w:t>
      </w:r>
    </w:p>
    <w:p w:rsidR="00AA3F49" w:rsidRDefault="00A93256">
      <w:r>
        <w:t xml:space="preserve">Three statements specifically asked about Library services. </w:t>
      </w:r>
      <w:r w:rsidR="008E77BB">
        <w:t xml:space="preserve">In each of the three questions concerning library services, several respondents indicated “I Don’t Know”. The </w:t>
      </w:r>
      <w:r w:rsidR="001A5B65">
        <w:t>following</w:t>
      </w:r>
      <w:r w:rsidR="008E77BB">
        <w:t xml:space="preserve"> table indicates, by employment classification, the percentages of each cat</w:t>
      </w:r>
      <w:r w:rsidR="00AA3F49">
        <w:t xml:space="preserve">egory answering in this manner. </w:t>
      </w:r>
    </w:p>
    <w:p w:rsidR="008E77BB" w:rsidRDefault="00AA3F49">
      <w:r>
        <w:t>For instance, in looking at the original survey data, question 26 had 56 (20.1%) “I don’t know” responses out of a tota</w:t>
      </w:r>
      <w:r w:rsidR="009B5318">
        <w:t>l 278 people who answered that particular</w:t>
      </w:r>
      <w:r>
        <w:t xml:space="preserve"> question. The table indicates that of the 56, the majority who didn’t know were classified staff (56.4%) followed by faculty (30.6%) certificated non-instructional (9.1%) and managers (3.6%). This is interesting, but not surprising, as classified staff </w:t>
      </w:r>
      <w:r w:rsidR="001A5B65">
        <w:t>may</w:t>
      </w:r>
      <w:r>
        <w:t xml:space="preserve"> be the least likely to have </w:t>
      </w:r>
      <w:r w:rsidR="00101418">
        <w:t xml:space="preserve">access to this type of </w:t>
      </w:r>
      <w:r>
        <w:t xml:space="preserve">information. Faculty, on the other hand, is surprising at 30.9%. They would be a primary group to benefit from this information and to be able to pass it along to students, </w:t>
      </w:r>
      <w:r w:rsidR="000A7C90">
        <w:t>thereby helping</w:t>
      </w:r>
      <w:r>
        <w:t xml:space="preserve"> the student learning process. A response of this nature may be indicative of a campaign to let faculty and staff know of the services and training available and how to avail themselves and their </w:t>
      </w:r>
      <w:r w:rsidR="002A781B">
        <w:t>s</w:t>
      </w:r>
      <w:r>
        <w:t xml:space="preserve">tudents to it. </w:t>
      </w:r>
    </w:p>
    <w:tbl>
      <w:tblPr>
        <w:tblStyle w:val="TableGrid"/>
        <w:tblpPr w:leftFromText="180" w:rightFromText="180" w:vertAnchor="page" w:horzAnchor="margin" w:tblpY="6451"/>
        <w:tblW w:w="0" w:type="auto"/>
        <w:tblLook w:val="04A0"/>
      </w:tblPr>
      <w:tblGrid>
        <w:gridCol w:w="4105"/>
        <w:gridCol w:w="1121"/>
        <w:gridCol w:w="1326"/>
        <w:gridCol w:w="915"/>
        <w:gridCol w:w="681"/>
        <w:gridCol w:w="801"/>
        <w:gridCol w:w="627"/>
      </w:tblGrid>
      <w:tr w:rsidR="00537AF0" w:rsidTr="00537AF0">
        <w:tc>
          <w:tcPr>
            <w:tcW w:w="0" w:type="auto"/>
            <w:gridSpan w:val="7"/>
            <w:shd w:val="clear" w:color="auto" w:fill="F79646" w:themeFill="accent6"/>
          </w:tcPr>
          <w:p w:rsidR="00537AF0" w:rsidRDefault="00537AF0" w:rsidP="00537AF0">
            <w:r>
              <w:t>“I don’t know” responses by employment type</w:t>
            </w:r>
          </w:p>
        </w:tc>
      </w:tr>
      <w:tr w:rsidR="00537AF0" w:rsidTr="00537AF0">
        <w:tc>
          <w:tcPr>
            <w:tcW w:w="0" w:type="auto"/>
          </w:tcPr>
          <w:p w:rsidR="00537AF0" w:rsidRDefault="00537AF0" w:rsidP="00537AF0"/>
        </w:tc>
        <w:tc>
          <w:tcPr>
            <w:tcW w:w="0" w:type="auto"/>
            <w:vAlign w:val="center"/>
          </w:tcPr>
          <w:p w:rsidR="00537AF0" w:rsidRPr="00361378" w:rsidRDefault="00537AF0" w:rsidP="00537AF0">
            <w:pPr>
              <w:jc w:val="center"/>
              <w:rPr>
                <w:sz w:val="16"/>
                <w:szCs w:val="16"/>
              </w:rPr>
            </w:pPr>
            <w:r w:rsidRPr="00361378">
              <w:rPr>
                <w:sz w:val="16"/>
                <w:szCs w:val="16"/>
              </w:rPr>
              <w:t>Administrator</w:t>
            </w:r>
          </w:p>
        </w:tc>
        <w:tc>
          <w:tcPr>
            <w:tcW w:w="0" w:type="auto"/>
            <w:vAlign w:val="center"/>
          </w:tcPr>
          <w:p w:rsidR="00537AF0" w:rsidRPr="00361378" w:rsidRDefault="00537AF0" w:rsidP="00537AF0">
            <w:pPr>
              <w:jc w:val="center"/>
              <w:rPr>
                <w:sz w:val="16"/>
                <w:szCs w:val="16"/>
              </w:rPr>
            </w:pPr>
            <w:r w:rsidRPr="00361378">
              <w:rPr>
                <w:sz w:val="16"/>
                <w:szCs w:val="16"/>
              </w:rPr>
              <w:t>Certificated non-Instructional</w:t>
            </w:r>
          </w:p>
        </w:tc>
        <w:tc>
          <w:tcPr>
            <w:tcW w:w="0" w:type="auto"/>
            <w:vAlign w:val="center"/>
          </w:tcPr>
          <w:p w:rsidR="00537AF0" w:rsidRPr="00361378" w:rsidRDefault="00537AF0" w:rsidP="00537AF0">
            <w:pPr>
              <w:jc w:val="center"/>
              <w:rPr>
                <w:sz w:val="16"/>
                <w:szCs w:val="16"/>
              </w:rPr>
            </w:pPr>
            <w:r w:rsidRPr="00361378">
              <w:rPr>
                <w:sz w:val="16"/>
                <w:szCs w:val="16"/>
              </w:rPr>
              <w:t>Classified Staff</w:t>
            </w:r>
          </w:p>
        </w:tc>
        <w:tc>
          <w:tcPr>
            <w:tcW w:w="0" w:type="auto"/>
            <w:vAlign w:val="center"/>
          </w:tcPr>
          <w:p w:rsidR="00537AF0" w:rsidRPr="00361378" w:rsidRDefault="00537AF0" w:rsidP="00537AF0">
            <w:pPr>
              <w:jc w:val="center"/>
              <w:rPr>
                <w:sz w:val="16"/>
                <w:szCs w:val="16"/>
              </w:rPr>
            </w:pPr>
            <w:r w:rsidRPr="00361378">
              <w:rPr>
                <w:sz w:val="16"/>
                <w:szCs w:val="16"/>
              </w:rPr>
              <w:t>Faculty</w:t>
            </w:r>
          </w:p>
        </w:tc>
        <w:tc>
          <w:tcPr>
            <w:tcW w:w="0" w:type="auto"/>
            <w:vAlign w:val="center"/>
          </w:tcPr>
          <w:p w:rsidR="00537AF0" w:rsidRPr="00361378" w:rsidRDefault="00537AF0" w:rsidP="00537AF0">
            <w:pPr>
              <w:jc w:val="center"/>
              <w:rPr>
                <w:sz w:val="16"/>
                <w:szCs w:val="16"/>
              </w:rPr>
            </w:pPr>
            <w:r w:rsidRPr="00361378">
              <w:rPr>
                <w:sz w:val="16"/>
                <w:szCs w:val="16"/>
              </w:rPr>
              <w:t>Manager</w:t>
            </w:r>
          </w:p>
        </w:tc>
        <w:tc>
          <w:tcPr>
            <w:tcW w:w="0" w:type="auto"/>
            <w:vAlign w:val="center"/>
          </w:tcPr>
          <w:p w:rsidR="00537AF0" w:rsidRPr="00361378" w:rsidRDefault="00537AF0" w:rsidP="00537AF0">
            <w:pPr>
              <w:jc w:val="center"/>
              <w:rPr>
                <w:sz w:val="16"/>
                <w:szCs w:val="16"/>
              </w:rPr>
            </w:pPr>
            <w:r w:rsidRPr="00361378">
              <w:rPr>
                <w:sz w:val="16"/>
                <w:szCs w:val="16"/>
              </w:rPr>
              <w:t>Total</w:t>
            </w:r>
          </w:p>
        </w:tc>
      </w:tr>
      <w:tr w:rsidR="00537AF0" w:rsidTr="00537AF0">
        <w:tc>
          <w:tcPr>
            <w:tcW w:w="0" w:type="auto"/>
          </w:tcPr>
          <w:p w:rsidR="00537AF0" w:rsidRPr="008E77BB" w:rsidRDefault="00537AF0" w:rsidP="00537AF0">
            <w:pPr>
              <w:rPr>
                <w:sz w:val="18"/>
                <w:szCs w:val="18"/>
              </w:rPr>
            </w:pPr>
            <w:r w:rsidRPr="008E77BB">
              <w:rPr>
                <w:sz w:val="18"/>
                <w:szCs w:val="18"/>
              </w:rPr>
              <w:t>25. For Library and other learning support services, the college relies on the faculty in the selection and maintenance of books and/or other library materials.</w:t>
            </w:r>
            <w:r>
              <w:rPr>
                <w:sz w:val="18"/>
                <w:szCs w:val="18"/>
              </w:rPr>
              <w:t xml:space="preserve"> (</w:t>
            </w:r>
            <w:r>
              <w:rPr>
                <w:i/>
                <w:sz w:val="18"/>
                <w:szCs w:val="18"/>
              </w:rPr>
              <w:t>n</w:t>
            </w:r>
            <w:r>
              <w:rPr>
                <w:sz w:val="18"/>
                <w:szCs w:val="18"/>
              </w:rPr>
              <w:t xml:space="preserve"> = 67)</w:t>
            </w:r>
          </w:p>
        </w:tc>
        <w:tc>
          <w:tcPr>
            <w:tcW w:w="0" w:type="auto"/>
            <w:vAlign w:val="center"/>
          </w:tcPr>
          <w:p w:rsidR="00537AF0" w:rsidRPr="008E77BB" w:rsidRDefault="00537AF0" w:rsidP="00537AF0">
            <w:pPr>
              <w:jc w:val="center"/>
              <w:rPr>
                <w:sz w:val="18"/>
                <w:szCs w:val="18"/>
              </w:rPr>
            </w:pPr>
            <w:r w:rsidRPr="008E77BB">
              <w:rPr>
                <w:sz w:val="18"/>
                <w:szCs w:val="18"/>
              </w:rPr>
              <w:t>1.5</w:t>
            </w:r>
          </w:p>
        </w:tc>
        <w:tc>
          <w:tcPr>
            <w:tcW w:w="0" w:type="auto"/>
            <w:vAlign w:val="center"/>
          </w:tcPr>
          <w:p w:rsidR="00537AF0" w:rsidRPr="008E77BB" w:rsidRDefault="00537AF0" w:rsidP="00537AF0">
            <w:pPr>
              <w:jc w:val="center"/>
              <w:rPr>
                <w:sz w:val="18"/>
                <w:szCs w:val="18"/>
              </w:rPr>
            </w:pPr>
            <w:r w:rsidRPr="008E77BB">
              <w:rPr>
                <w:sz w:val="18"/>
                <w:szCs w:val="18"/>
              </w:rPr>
              <w:t>7.6</w:t>
            </w:r>
          </w:p>
        </w:tc>
        <w:tc>
          <w:tcPr>
            <w:tcW w:w="0" w:type="auto"/>
            <w:vAlign w:val="center"/>
          </w:tcPr>
          <w:p w:rsidR="00537AF0" w:rsidRPr="008E77BB" w:rsidRDefault="00537AF0" w:rsidP="00537AF0">
            <w:pPr>
              <w:jc w:val="center"/>
              <w:rPr>
                <w:sz w:val="18"/>
                <w:szCs w:val="18"/>
              </w:rPr>
            </w:pPr>
            <w:r w:rsidRPr="008E77BB">
              <w:rPr>
                <w:sz w:val="18"/>
                <w:szCs w:val="18"/>
              </w:rPr>
              <w:t>60.6</w:t>
            </w:r>
          </w:p>
        </w:tc>
        <w:tc>
          <w:tcPr>
            <w:tcW w:w="0" w:type="auto"/>
            <w:vAlign w:val="center"/>
          </w:tcPr>
          <w:p w:rsidR="00537AF0" w:rsidRPr="008E77BB" w:rsidRDefault="00537AF0" w:rsidP="00537AF0">
            <w:pPr>
              <w:jc w:val="center"/>
              <w:rPr>
                <w:sz w:val="18"/>
                <w:szCs w:val="18"/>
              </w:rPr>
            </w:pPr>
            <w:r w:rsidRPr="008E77BB">
              <w:rPr>
                <w:sz w:val="18"/>
                <w:szCs w:val="18"/>
              </w:rPr>
              <w:t>27.3</w:t>
            </w:r>
          </w:p>
        </w:tc>
        <w:tc>
          <w:tcPr>
            <w:tcW w:w="0" w:type="auto"/>
            <w:vAlign w:val="center"/>
          </w:tcPr>
          <w:p w:rsidR="00537AF0" w:rsidRPr="008E77BB" w:rsidRDefault="00537AF0" w:rsidP="00537AF0">
            <w:pPr>
              <w:jc w:val="center"/>
              <w:rPr>
                <w:sz w:val="18"/>
                <w:szCs w:val="18"/>
              </w:rPr>
            </w:pPr>
            <w:r w:rsidRPr="008E77BB">
              <w:rPr>
                <w:sz w:val="18"/>
                <w:szCs w:val="18"/>
              </w:rPr>
              <w:t>3.0</w:t>
            </w:r>
          </w:p>
        </w:tc>
        <w:tc>
          <w:tcPr>
            <w:tcW w:w="0" w:type="auto"/>
            <w:vAlign w:val="center"/>
          </w:tcPr>
          <w:p w:rsidR="00537AF0" w:rsidRPr="008E77BB" w:rsidRDefault="00537AF0" w:rsidP="00537AF0">
            <w:pPr>
              <w:jc w:val="center"/>
              <w:rPr>
                <w:sz w:val="18"/>
                <w:szCs w:val="18"/>
              </w:rPr>
            </w:pPr>
            <w:r w:rsidRPr="008E77BB">
              <w:rPr>
                <w:sz w:val="18"/>
                <w:szCs w:val="18"/>
              </w:rPr>
              <w:t>100.0</w:t>
            </w:r>
          </w:p>
        </w:tc>
      </w:tr>
      <w:tr w:rsidR="00537AF0" w:rsidTr="00537AF0">
        <w:tc>
          <w:tcPr>
            <w:tcW w:w="0" w:type="auto"/>
          </w:tcPr>
          <w:p w:rsidR="00537AF0" w:rsidRPr="008E77BB" w:rsidRDefault="00537AF0" w:rsidP="00537AF0">
            <w:pPr>
              <w:rPr>
                <w:sz w:val="18"/>
                <w:szCs w:val="18"/>
              </w:rPr>
            </w:pPr>
            <w:r w:rsidRPr="008E77BB">
              <w:rPr>
                <w:sz w:val="18"/>
                <w:szCs w:val="18"/>
              </w:rPr>
              <w:t>26. The college provides ongoing training for users of library and other learning support services to develop information competency.</w:t>
            </w:r>
            <w:r>
              <w:rPr>
                <w:sz w:val="18"/>
                <w:szCs w:val="18"/>
              </w:rPr>
              <w:t xml:space="preserve"> (</w:t>
            </w:r>
            <w:r>
              <w:rPr>
                <w:i/>
                <w:sz w:val="18"/>
                <w:szCs w:val="18"/>
              </w:rPr>
              <w:t xml:space="preserve">n </w:t>
            </w:r>
            <w:r>
              <w:rPr>
                <w:sz w:val="18"/>
                <w:szCs w:val="18"/>
              </w:rPr>
              <w:t>= 56)</w:t>
            </w:r>
          </w:p>
        </w:tc>
        <w:tc>
          <w:tcPr>
            <w:tcW w:w="0" w:type="auto"/>
            <w:vAlign w:val="center"/>
          </w:tcPr>
          <w:p w:rsidR="00537AF0" w:rsidRPr="008E77BB" w:rsidRDefault="00537AF0" w:rsidP="00537AF0">
            <w:pPr>
              <w:jc w:val="center"/>
              <w:rPr>
                <w:sz w:val="18"/>
                <w:szCs w:val="18"/>
              </w:rPr>
            </w:pPr>
            <w:r>
              <w:rPr>
                <w:sz w:val="18"/>
                <w:szCs w:val="18"/>
              </w:rPr>
              <w:t>0.0</w:t>
            </w:r>
          </w:p>
        </w:tc>
        <w:tc>
          <w:tcPr>
            <w:tcW w:w="0" w:type="auto"/>
            <w:vAlign w:val="center"/>
          </w:tcPr>
          <w:p w:rsidR="00537AF0" w:rsidRPr="008E77BB" w:rsidRDefault="00537AF0" w:rsidP="00537AF0">
            <w:pPr>
              <w:jc w:val="center"/>
              <w:rPr>
                <w:sz w:val="18"/>
                <w:szCs w:val="18"/>
              </w:rPr>
            </w:pPr>
            <w:r>
              <w:rPr>
                <w:sz w:val="18"/>
                <w:szCs w:val="18"/>
              </w:rPr>
              <w:t>9.1</w:t>
            </w:r>
          </w:p>
        </w:tc>
        <w:tc>
          <w:tcPr>
            <w:tcW w:w="0" w:type="auto"/>
            <w:vAlign w:val="center"/>
          </w:tcPr>
          <w:p w:rsidR="00537AF0" w:rsidRPr="008E77BB" w:rsidRDefault="00537AF0" w:rsidP="00537AF0">
            <w:pPr>
              <w:jc w:val="center"/>
              <w:rPr>
                <w:sz w:val="18"/>
                <w:szCs w:val="18"/>
              </w:rPr>
            </w:pPr>
            <w:r>
              <w:rPr>
                <w:sz w:val="18"/>
                <w:szCs w:val="18"/>
              </w:rPr>
              <w:t>56.4</w:t>
            </w:r>
          </w:p>
        </w:tc>
        <w:tc>
          <w:tcPr>
            <w:tcW w:w="0" w:type="auto"/>
            <w:vAlign w:val="center"/>
          </w:tcPr>
          <w:p w:rsidR="00537AF0" w:rsidRPr="008E77BB" w:rsidRDefault="00537AF0" w:rsidP="00537AF0">
            <w:pPr>
              <w:jc w:val="center"/>
              <w:rPr>
                <w:sz w:val="18"/>
                <w:szCs w:val="18"/>
              </w:rPr>
            </w:pPr>
            <w:r>
              <w:rPr>
                <w:sz w:val="18"/>
                <w:szCs w:val="18"/>
              </w:rPr>
              <w:t>30.9</w:t>
            </w:r>
          </w:p>
        </w:tc>
        <w:tc>
          <w:tcPr>
            <w:tcW w:w="0" w:type="auto"/>
            <w:vAlign w:val="center"/>
          </w:tcPr>
          <w:p w:rsidR="00537AF0" w:rsidRPr="008E77BB" w:rsidRDefault="00537AF0" w:rsidP="00537AF0">
            <w:pPr>
              <w:jc w:val="center"/>
              <w:rPr>
                <w:sz w:val="18"/>
                <w:szCs w:val="18"/>
              </w:rPr>
            </w:pPr>
            <w:r>
              <w:rPr>
                <w:sz w:val="18"/>
                <w:szCs w:val="18"/>
              </w:rPr>
              <w:t>3.6</w:t>
            </w:r>
          </w:p>
        </w:tc>
        <w:tc>
          <w:tcPr>
            <w:tcW w:w="0" w:type="auto"/>
            <w:vAlign w:val="center"/>
          </w:tcPr>
          <w:p w:rsidR="00537AF0" w:rsidRPr="008E77BB" w:rsidRDefault="00537AF0" w:rsidP="00537AF0">
            <w:pPr>
              <w:jc w:val="center"/>
              <w:rPr>
                <w:sz w:val="18"/>
                <w:szCs w:val="18"/>
              </w:rPr>
            </w:pPr>
            <w:r>
              <w:rPr>
                <w:sz w:val="18"/>
                <w:szCs w:val="18"/>
              </w:rPr>
              <w:t>100.0</w:t>
            </w:r>
          </w:p>
        </w:tc>
      </w:tr>
      <w:tr w:rsidR="00537AF0" w:rsidTr="00537AF0">
        <w:tc>
          <w:tcPr>
            <w:tcW w:w="0" w:type="auto"/>
          </w:tcPr>
          <w:p w:rsidR="00537AF0" w:rsidRPr="008E77BB" w:rsidRDefault="00537AF0" w:rsidP="00537AF0">
            <w:pPr>
              <w:tabs>
                <w:tab w:val="left" w:pos="1040"/>
              </w:tabs>
              <w:rPr>
                <w:sz w:val="18"/>
                <w:szCs w:val="18"/>
              </w:rPr>
            </w:pPr>
            <w:r w:rsidRPr="008E77BB">
              <w:rPr>
                <w:sz w:val="18"/>
                <w:szCs w:val="18"/>
              </w:rPr>
              <w:t>27. The library’s books, periodicals, media, electronic databases, and other resources are adequate to meet the needs of students and instructors.</w:t>
            </w:r>
            <w:r>
              <w:rPr>
                <w:sz w:val="18"/>
                <w:szCs w:val="18"/>
              </w:rPr>
              <w:t xml:space="preserve"> (</w:t>
            </w:r>
            <w:r>
              <w:rPr>
                <w:i/>
                <w:sz w:val="18"/>
                <w:szCs w:val="18"/>
              </w:rPr>
              <w:t xml:space="preserve">n </w:t>
            </w:r>
            <w:r>
              <w:rPr>
                <w:sz w:val="18"/>
                <w:szCs w:val="18"/>
              </w:rPr>
              <w:t>= 53)</w:t>
            </w:r>
          </w:p>
        </w:tc>
        <w:tc>
          <w:tcPr>
            <w:tcW w:w="0" w:type="auto"/>
            <w:vAlign w:val="center"/>
          </w:tcPr>
          <w:p w:rsidR="00537AF0" w:rsidRDefault="00537AF0" w:rsidP="00537AF0">
            <w:pPr>
              <w:jc w:val="center"/>
              <w:rPr>
                <w:sz w:val="18"/>
                <w:szCs w:val="18"/>
              </w:rPr>
            </w:pPr>
            <w:r>
              <w:rPr>
                <w:sz w:val="18"/>
                <w:szCs w:val="18"/>
              </w:rPr>
              <w:t>2.0</w:t>
            </w:r>
          </w:p>
          <w:p w:rsidR="00537AF0" w:rsidRPr="00123467" w:rsidRDefault="00537AF0" w:rsidP="00537AF0">
            <w:pPr>
              <w:jc w:val="center"/>
              <w:rPr>
                <w:sz w:val="18"/>
                <w:szCs w:val="18"/>
              </w:rPr>
            </w:pPr>
          </w:p>
        </w:tc>
        <w:tc>
          <w:tcPr>
            <w:tcW w:w="0" w:type="auto"/>
            <w:vAlign w:val="center"/>
          </w:tcPr>
          <w:p w:rsidR="00537AF0" w:rsidRPr="008E77BB" w:rsidRDefault="00537AF0" w:rsidP="00537AF0">
            <w:pPr>
              <w:jc w:val="center"/>
              <w:rPr>
                <w:sz w:val="18"/>
                <w:szCs w:val="18"/>
              </w:rPr>
            </w:pPr>
            <w:r>
              <w:rPr>
                <w:sz w:val="18"/>
                <w:szCs w:val="18"/>
              </w:rPr>
              <w:t>13.7</w:t>
            </w:r>
          </w:p>
        </w:tc>
        <w:tc>
          <w:tcPr>
            <w:tcW w:w="0" w:type="auto"/>
            <w:vAlign w:val="center"/>
          </w:tcPr>
          <w:p w:rsidR="00537AF0" w:rsidRPr="008E77BB" w:rsidRDefault="00537AF0" w:rsidP="00537AF0">
            <w:pPr>
              <w:jc w:val="center"/>
              <w:rPr>
                <w:sz w:val="18"/>
                <w:szCs w:val="18"/>
              </w:rPr>
            </w:pPr>
            <w:r>
              <w:rPr>
                <w:sz w:val="18"/>
                <w:szCs w:val="18"/>
              </w:rPr>
              <w:t>47.1</w:t>
            </w:r>
          </w:p>
        </w:tc>
        <w:tc>
          <w:tcPr>
            <w:tcW w:w="0" w:type="auto"/>
            <w:vAlign w:val="center"/>
          </w:tcPr>
          <w:p w:rsidR="00537AF0" w:rsidRPr="008E77BB" w:rsidRDefault="00537AF0" w:rsidP="00537AF0">
            <w:pPr>
              <w:jc w:val="center"/>
              <w:rPr>
                <w:sz w:val="18"/>
                <w:szCs w:val="18"/>
              </w:rPr>
            </w:pPr>
            <w:r>
              <w:rPr>
                <w:sz w:val="18"/>
                <w:szCs w:val="18"/>
              </w:rPr>
              <w:t>31.4</w:t>
            </w:r>
          </w:p>
        </w:tc>
        <w:tc>
          <w:tcPr>
            <w:tcW w:w="0" w:type="auto"/>
            <w:vAlign w:val="center"/>
          </w:tcPr>
          <w:p w:rsidR="00537AF0" w:rsidRPr="008E77BB" w:rsidRDefault="00537AF0" w:rsidP="00537AF0">
            <w:pPr>
              <w:jc w:val="center"/>
              <w:rPr>
                <w:sz w:val="18"/>
                <w:szCs w:val="18"/>
              </w:rPr>
            </w:pPr>
            <w:r>
              <w:rPr>
                <w:sz w:val="18"/>
                <w:szCs w:val="18"/>
              </w:rPr>
              <w:t>5.9</w:t>
            </w:r>
          </w:p>
        </w:tc>
        <w:tc>
          <w:tcPr>
            <w:tcW w:w="0" w:type="auto"/>
            <w:vAlign w:val="center"/>
          </w:tcPr>
          <w:p w:rsidR="00537AF0" w:rsidRPr="008E77BB" w:rsidRDefault="00537AF0" w:rsidP="00537AF0">
            <w:pPr>
              <w:jc w:val="center"/>
              <w:rPr>
                <w:sz w:val="18"/>
                <w:szCs w:val="18"/>
              </w:rPr>
            </w:pPr>
            <w:r>
              <w:rPr>
                <w:sz w:val="18"/>
                <w:szCs w:val="18"/>
              </w:rPr>
              <w:t>100.0</w:t>
            </w:r>
          </w:p>
        </w:tc>
      </w:tr>
    </w:tbl>
    <w:p w:rsidR="001A5B65" w:rsidRPr="00C350EF" w:rsidRDefault="001A5B65">
      <w:pPr>
        <w:rPr>
          <w:sz w:val="16"/>
          <w:szCs w:val="16"/>
        </w:rPr>
      </w:pPr>
      <w:r w:rsidRPr="00C350EF">
        <w:rPr>
          <w:sz w:val="16"/>
          <w:szCs w:val="16"/>
        </w:rPr>
        <w:t>Data Source: RC Office of Institutional Research</w:t>
      </w:r>
    </w:p>
    <w:p w:rsidR="002A781B" w:rsidRDefault="00C350EF">
      <w:r>
        <w:t>Student satisfaction was</w:t>
      </w:r>
      <w:r w:rsidR="002955B7">
        <w:t xml:space="preserve"> also </w:t>
      </w:r>
      <w:r>
        <w:t>measured using the ACT College Outcomes Survey across all locations. One statement specifically targeted the satisfaction with “Library/learning resources center services”.</w:t>
      </w:r>
      <w:r w:rsidR="002A781B">
        <w:t xml:space="preserve"> Overall, student satisfaction in this area is good, </w:t>
      </w:r>
      <w:r w:rsidR="002A781B">
        <w:rPr>
          <w:i/>
        </w:rPr>
        <w:t xml:space="preserve">M </w:t>
      </w:r>
      <w:r w:rsidR="002A781B">
        <w:t xml:space="preserve">= 3.88, </w:t>
      </w:r>
      <w:r w:rsidR="002A781B">
        <w:rPr>
          <w:i/>
        </w:rPr>
        <w:t>SD</w:t>
      </w:r>
      <w:r w:rsidR="002A781B">
        <w:t xml:space="preserve"> = .91. However, in breaking it down to a location based level, it is </w:t>
      </w:r>
      <w:r w:rsidR="00507CE5">
        <w:t>noted</w:t>
      </w:r>
      <w:r w:rsidR="002A781B">
        <w:t xml:space="preserve"> that student satisfaction varies by the location at which </w:t>
      </w:r>
      <w:r w:rsidR="00507CE5">
        <w:t xml:space="preserve">the student </w:t>
      </w:r>
      <w:r w:rsidR="002A781B">
        <w:t>attend</w:t>
      </w:r>
      <w:r w:rsidR="00507CE5">
        <w:t>s</w:t>
      </w:r>
      <w:r w:rsidR="002A781B">
        <w:t xml:space="preserve"> college. </w:t>
      </w:r>
      <w:r w:rsidR="00507CE5">
        <w:t xml:space="preserve"> </w:t>
      </w:r>
    </w:p>
    <w:p w:rsidR="002A781B" w:rsidRDefault="002A781B">
      <w:r>
        <w:t>The following table indicates the levels of satisfaction by student location.</w:t>
      </w:r>
      <w:r w:rsidR="00DA62E6">
        <w:t xml:space="preserve"> Sample sizes, means, and standard deviations are reported. The mean is based on a 5 point scale with 5 being the most satisfied and 1 being the least satisfied. Standard deviations indicate the degree to which responses vary from the mean with lower standard deviations indicating less variance between responses (responses tend to cluster) and higher standard deviations indicate more varied responses (there is more spread between responses).</w:t>
      </w:r>
    </w:p>
    <w:p w:rsidR="00DA62E6" w:rsidRDefault="00DA62E6">
      <w:r w:rsidRPr="00DA62E6">
        <w:rPr>
          <w:b/>
        </w:rPr>
        <w:t xml:space="preserve">Please note: These differences are not statistically significant nor are the samples equal in terms of variance. In other words, </w:t>
      </w:r>
      <w:r w:rsidR="00CB59A9">
        <w:rPr>
          <w:b/>
        </w:rPr>
        <w:t>there are no real differences between the groups. T</w:t>
      </w:r>
      <w:r w:rsidRPr="00DA62E6">
        <w:rPr>
          <w:b/>
        </w:rPr>
        <w:t xml:space="preserve">he samples are too </w:t>
      </w:r>
      <w:r w:rsidRPr="00DA62E6">
        <w:rPr>
          <w:b/>
        </w:rPr>
        <w:lastRenderedPageBreak/>
        <w:t>different to be comparing to each other in a statistically meaningful way and the results should be interpreted as such.</w:t>
      </w:r>
    </w:p>
    <w:tbl>
      <w:tblPr>
        <w:tblStyle w:val="TableGrid"/>
        <w:tblpPr w:leftFromText="180" w:rightFromText="180" w:vertAnchor="text" w:horzAnchor="margin" w:tblpY="159"/>
        <w:tblW w:w="5000" w:type="pct"/>
        <w:tblLook w:val="04A0"/>
      </w:tblPr>
      <w:tblGrid>
        <w:gridCol w:w="3825"/>
        <w:gridCol w:w="1942"/>
        <w:gridCol w:w="1933"/>
        <w:gridCol w:w="1876"/>
      </w:tblGrid>
      <w:tr w:rsidR="00507CE5" w:rsidTr="00507CE5">
        <w:tc>
          <w:tcPr>
            <w:tcW w:w="9576" w:type="dxa"/>
            <w:gridSpan w:val="4"/>
            <w:shd w:val="clear" w:color="auto" w:fill="F79646" w:themeFill="accent6"/>
          </w:tcPr>
          <w:p w:rsidR="00507CE5" w:rsidRDefault="00507CE5" w:rsidP="00507CE5">
            <w:r>
              <w:t>Satisfaction rates for Library / Learning Resources Center Services by Student Location</w:t>
            </w:r>
          </w:p>
        </w:tc>
      </w:tr>
      <w:tr w:rsidR="00507CE5" w:rsidTr="00507CE5">
        <w:tc>
          <w:tcPr>
            <w:tcW w:w="3825" w:type="dxa"/>
          </w:tcPr>
          <w:p w:rsidR="00507CE5" w:rsidRDefault="00507CE5" w:rsidP="00507CE5"/>
        </w:tc>
        <w:tc>
          <w:tcPr>
            <w:tcW w:w="1942" w:type="dxa"/>
            <w:vAlign w:val="center"/>
          </w:tcPr>
          <w:p w:rsidR="00507CE5" w:rsidRDefault="00507CE5" w:rsidP="00507CE5">
            <w:pPr>
              <w:jc w:val="center"/>
            </w:pPr>
            <w:r>
              <w:t>Count</w:t>
            </w:r>
          </w:p>
        </w:tc>
        <w:tc>
          <w:tcPr>
            <w:tcW w:w="1933" w:type="dxa"/>
            <w:vAlign w:val="center"/>
          </w:tcPr>
          <w:p w:rsidR="00507CE5" w:rsidRDefault="00507CE5" w:rsidP="00507CE5">
            <w:pPr>
              <w:jc w:val="center"/>
            </w:pPr>
            <w:r>
              <w:t>Mean</w:t>
            </w:r>
          </w:p>
        </w:tc>
        <w:tc>
          <w:tcPr>
            <w:tcW w:w="1876" w:type="dxa"/>
          </w:tcPr>
          <w:p w:rsidR="00507CE5" w:rsidRDefault="00507CE5" w:rsidP="00507CE5">
            <w:pPr>
              <w:jc w:val="center"/>
            </w:pPr>
            <w:r>
              <w:t>SD</w:t>
            </w:r>
          </w:p>
        </w:tc>
      </w:tr>
      <w:tr w:rsidR="00507CE5" w:rsidTr="00507CE5">
        <w:tc>
          <w:tcPr>
            <w:tcW w:w="3825" w:type="dxa"/>
          </w:tcPr>
          <w:p w:rsidR="00507CE5" w:rsidRDefault="00507CE5" w:rsidP="00507CE5">
            <w:r>
              <w:t>Reedley College</w:t>
            </w:r>
          </w:p>
        </w:tc>
        <w:tc>
          <w:tcPr>
            <w:tcW w:w="1942" w:type="dxa"/>
            <w:vAlign w:val="center"/>
          </w:tcPr>
          <w:p w:rsidR="00507CE5" w:rsidRDefault="00507CE5" w:rsidP="00507CE5">
            <w:pPr>
              <w:jc w:val="center"/>
            </w:pPr>
            <w:r>
              <w:t>251</w:t>
            </w:r>
          </w:p>
        </w:tc>
        <w:tc>
          <w:tcPr>
            <w:tcW w:w="1933" w:type="dxa"/>
            <w:vAlign w:val="center"/>
          </w:tcPr>
          <w:p w:rsidR="00507CE5" w:rsidRDefault="00507CE5" w:rsidP="00507CE5">
            <w:pPr>
              <w:jc w:val="center"/>
            </w:pPr>
            <w:r>
              <w:t>4.00</w:t>
            </w:r>
          </w:p>
        </w:tc>
        <w:tc>
          <w:tcPr>
            <w:tcW w:w="1876" w:type="dxa"/>
          </w:tcPr>
          <w:p w:rsidR="00507CE5" w:rsidRDefault="00507CE5" w:rsidP="00507CE5">
            <w:pPr>
              <w:jc w:val="center"/>
            </w:pPr>
            <w:r>
              <w:t>0.79</w:t>
            </w:r>
          </w:p>
        </w:tc>
      </w:tr>
      <w:tr w:rsidR="00507CE5" w:rsidTr="00507CE5">
        <w:tc>
          <w:tcPr>
            <w:tcW w:w="3825" w:type="dxa"/>
          </w:tcPr>
          <w:p w:rsidR="00507CE5" w:rsidRDefault="00507CE5" w:rsidP="00507CE5">
            <w:r>
              <w:t>Willow International Center</w:t>
            </w:r>
          </w:p>
        </w:tc>
        <w:tc>
          <w:tcPr>
            <w:tcW w:w="1942" w:type="dxa"/>
            <w:vAlign w:val="center"/>
          </w:tcPr>
          <w:p w:rsidR="00507CE5" w:rsidRDefault="00507CE5" w:rsidP="00507CE5">
            <w:pPr>
              <w:jc w:val="center"/>
            </w:pPr>
            <w:r>
              <w:t>259</w:t>
            </w:r>
          </w:p>
        </w:tc>
        <w:tc>
          <w:tcPr>
            <w:tcW w:w="1933" w:type="dxa"/>
            <w:vAlign w:val="center"/>
          </w:tcPr>
          <w:p w:rsidR="00507CE5" w:rsidRDefault="00507CE5" w:rsidP="00507CE5">
            <w:pPr>
              <w:jc w:val="center"/>
            </w:pPr>
            <w:r>
              <w:t>3.70</w:t>
            </w:r>
          </w:p>
        </w:tc>
        <w:tc>
          <w:tcPr>
            <w:tcW w:w="1876" w:type="dxa"/>
          </w:tcPr>
          <w:p w:rsidR="00507CE5" w:rsidRDefault="00507CE5" w:rsidP="00507CE5">
            <w:pPr>
              <w:jc w:val="center"/>
            </w:pPr>
            <w:r>
              <w:t>1.02</w:t>
            </w:r>
          </w:p>
        </w:tc>
      </w:tr>
      <w:tr w:rsidR="00507CE5" w:rsidTr="00507CE5">
        <w:tc>
          <w:tcPr>
            <w:tcW w:w="3825" w:type="dxa"/>
          </w:tcPr>
          <w:p w:rsidR="00507CE5" w:rsidRDefault="00507CE5" w:rsidP="00507CE5">
            <w:r>
              <w:t>Madera Center</w:t>
            </w:r>
          </w:p>
        </w:tc>
        <w:tc>
          <w:tcPr>
            <w:tcW w:w="1942" w:type="dxa"/>
            <w:vAlign w:val="center"/>
          </w:tcPr>
          <w:p w:rsidR="00507CE5" w:rsidRDefault="00507CE5" w:rsidP="00507CE5">
            <w:pPr>
              <w:jc w:val="center"/>
            </w:pPr>
            <w:r>
              <w:t>88</w:t>
            </w:r>
          </w:p>
        </w:tc>
        <w:tc>
          <w:tcPr>
            <w:tcW w:w="1933" w:type="dxa"/>
            <w:vAlign w:val="center"/>
          </w:tcPr>
          <w:p w:rsidR="00507CE5" w:rsidRDefault="00507CE5" w:rsidP="00507CE5">
            <w:pPr>
              <w:jc w:val="center"/>
            </w:pPr>
            <w:r>
              <w:t>4.09</w:t>
            </w:r>
          </w:p>
        </w:tc>
        <w:tc>
          <w:tcPr>
            <w:tcW w:w="1876" w:type="dxa"/>
          </w:tcPr>
          <w:p w:rsidR="00507CE5" w:rsidRDefault="00507CE5" w:rsidP="00507CE5">
            <w:pPr>
              <w:jc w:val="center"/>
            </w:pPr>
            <w:r>
              <w:t>0.71</w:t>
            </w:r>
          </w:p>
        </w:tc>
      </w:tr>
      <w:tr w:rsidR="00507CE5" w:rsidTr="00507CE5">
        <w:tc>
          <w:tcPr>
            <w:tcW w:w="3825" w:type="dxa"/>
          </w:tcPr>
          <w:p w:rsidR="00507CE5" w:rsidRDefault="00507CE5" w:rsidP="00507CE5">
            <w:r>
              <w:t>Oakhurst Center</w:t>
            </w:r>
          </w:p>
        </w:tc>
        <w:tc>
          <w:tcPr>
            <w:tcW w:w="1942" w:type="dxa"/>
            <w:vAlign w:val="center"/>
          </w:tcPr>
          <w:p w:rsidR="00507CE5" w:rsidRDefault="00507CE5" w:rsidP="00507CE5">
            <w:pPr>
              <w:jc w:val="center"/>
            </w:pPr>
            <w:r>
              <w:t>27</w:t>
            </w:r>
          </w:p>
        </w:tc>
        <w:tc>
          <w:tcPr>
            <w:tcW w:w="1933" w:type="dxa"/>
            <w:vAlign w:val="center"/>
          </w:tcPr>
          <w:p w:rsidR="00507CE5" w:rsidRDefault="00507CE5" w:rsidP="00507CE5">
            <w:pPr>
              <w:jc w:val="center"/>
            </w:pPr>
            <w:r>
              <w:t>3.74</w:t>
            </w:r>
          </w:p>
        </w:tc>
        <w:tc>
          <w:tcPr>
            <w:tcW w:w="1876" w:type="dxa"/>
          </w:tcPr>
          <w:p w:rsidR="00507CE5" w:rsidRDefault="00507CE5" w:rsidP="00507CE5">
            <w:pPr>
              <w:jc w:val="center"/>
            </w:pPr>
            <w:r>
              <w:t>0.91</w:t>
            </w:r>
          </w:p>
        </w:tc>
      </w:tr>
      <w:tr w:rsidR="00507CE5" w:rsidTr="00507CE5">
        <w:tc>
          <w:tcPr>
            <w:tcW w:w="3825" w:type="dxa"/>
          </w:tcPr>
          <w:p w:rsidR="00507CE5" w:rsidRDefault="00507CE5" w:rsidP="00507CE5">
            <w:r>
              <w:t>Selma</w:t>
            </w:r>
          </w:p>
        </w:tc>
        <w:tc>
          <w:tcPr>
            <w:tcW w:w="1942" w:type="dxa"/>
            <w:vAlign w:val="center"/>
          </w:tcPr>
          <w:p w:rsidR="00507CE5" w:rsidRDefault="00507CE5" w:rsidP="00507CE5">
            <w:pPr>
              <w:jc w:val="center"/>
            </w:pPr>
            <w:r>
              <w:t>35</w:t>
            </w:r>
          </w:p>
        </w:tc>
        <w:tc>
          <w:tcPr>
            <w:tcW w:w="1933" w:type="dxa"/>
            <w:vAlign w:val="center"/>
          </w:tcPr>
          <w:p w:rsidR="00507CE5" w:rsidRDefault="00507CE5" w:rsidP="00507CE5">
            <w:pPr>
              <w:jc w:val="center"/>
            </w:pPr>
            <w:r>
              <w:t>4.11</w:t>
            </w:r>
          </w:p>
        </w:tc>
        <w:tc>
          <w:tcPr>
            <w:tcW w:w="1876" w:type="dxa"/>
          </w:tcPr>
          <w:p w:rsidR="00507CE5" w:rsidRDefault="00507CE5" w:rsidP="00507CE5">
            <w:pPr>
              <w:jc w:val="center"/>
            </w:pPr>
            <w:r>
              <w:t>0.96</w:t>
            </w:r>
          </w:p>
        </w:tc>
      </w:tr>
    </w:tbl>
    <w:p w:rsidR="001A5B65" w:rsidRPr="002A781B" w:rsidRDefault="00DA62E6">
      <w:r>
        <w:t xml:space="preserve"> Data Source: RC Office of Institutional Research</w:t>
      </w:r>
    </w:p>
    <w:sectPr w:rsidR="001A5B65" w:rsidRPr="002A781B" w:rsidSect="00164A9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E0F" w:rsidRDefault="00087E0F" w:rsidP="00036AC0">
      <w:pPr>
        <w:spacing w:after="0" w:line="240" w:lineRule="auto"/>
      </w:pPr>
      <w:r>
        <w:separator/>
      </w:r>
    </w:p>
  </w:endnote>
  <w:endnote w:type="continuationSeparator" w:id="0">
    <w:p w:rsidR="00087E0F" w:rsidRDefault="00087E0F" w:rsidP="00036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C0" w:rsidRDefault="00036AC0">
    <w:pPr>
      <w:pStyle w:val="Footer"/>
      <w:pBdr>
        <w:top w:val="thinThickSmallGap" w:sz="24" w:space="1" w:color="622423" w:themeColor="accent2" w:themeShade="7F"/>
      </w:pBdr>
      <w:rPr>
        <w:rFonts w:asciiTheme="majorHAnsi" w:hAnsiTheme="majorHAnsi"/>
      </w:rPr>
    </w:pPr>
    <w:r>
      <w:rPr>
        <w:rFonts w:asciiTheme="majorHAnsi" w:hAnsiTheme="majorHAnsi"/>
      </w:rPr>
      <w:t>RC Office of Institutional Research</w:t>
    </w:r>
    <w:r>
      <w:rPr>
        <w:rFonts w:asciiTheme="majorHAnsi" w:hAnsiTheme="majorHAnsi"/>
      </w:rPr>
      <w:tab/>
    </w:r>
    <w:r>
      <w:rPr>
        <w:rFonts w:asciiTheme="majorHAnsi" w:hAnsiTheme="majorHAnsi"/>
      </w:rPr>
      <w:tab/>
      <w:t>September 2010</w:t>
    </w:r>
  </w:p>
  <w:p w:rsidR="00036AC0" w:rsidRDefault="00036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E0F" w:rsidRDefault="00087E0F" w:rsidP="00036AC0">
      <w:pPr>
        <w:spacing w:after="0" w:line="240" w:lineRule="auto"/>
      </w:pPr>
      <w:r>
        <w:separator/>
      </w:r>
    </w:p>
  </w:footnote>
  <w:footnote w:type="continuationSeparator" w:id="0">
    <w:p w:rsidR="00087E0F" w:rsidRDefault="00087E0F" w:rsidP="00036A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61378"/>
    <w:rsid w:val="00036AC0"/>
    <w:rsid w:val="00087E0F"/>
    <w:rsid w:val="000A7C90"/>
    <w:rsid w:val="00101418"/>
    <w:rsid w:val="00123467"/>
    <w:rsid w:val="00164A92"/>
    <w:rsid w:val="001A5B65"/>
    <w:rsid w:val="002955B7"/>
    <w:rsid w:val="002A781B"/>
    <w:rsid w:val="0034708F"/>
    <w:rsid w:val="00361378"/>
    <w:rsid w:val="00507CE5"/>
    <w:rsid w:val="00537AF0"/>
    <w:rsid w:val="00676CB1"/>
    <w:rsid w:val="006A41E0"/>
    <w:rsid w:val="00814F7C"/>
    <w:rsid w:val="008E77BB"/>
    <w:rsid w:val="00975C07"/>
    <w:rsid w:val="009838C1"/>
    <w:rsid w:val="009B5318"/>
    <w:rsid w:val="009D2B04"/>
    <w:rsid w:val="00A93256"/>
    <w:rsid w:val="00AA3F49"/>
    <w:rsid w:val="00AE5E05"/>
    <w:rsid w:val="00C350EF"/>
    <w:rsid w:val="00CB59A9"/>
    <w:rsid w:val="00DA62E6"/>
    <w:rsid w:val="00EF1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6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AC0"/>
  </w:style>
  <w:style w:type="paragraph" w:styleId="Footer">
    <w:name w:val="footer"/>
    <w:basedOn w:val="Normal"/>
    <w:link w:val="FooterChar"/>
    <w:uiPriority w:val="99"/>
    <w:unhideWhenUsed/>
    <w:rsid w:val="0003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AC0"/>
  </w:style>
  <w:style w:type="paragraph" w:styleId="BalloonText">
    <w:name w:val="Balloon Text"/>
    <w:basedOn w:val="Normal"/>
    <w:link w:val="BalloonTextChar"/>
    <w:uiPriority w:val="99"/>
    <w:semiHidden/>
    <w:unhideWhenUsed/>
    <w:rsid w:val="00036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12</cp:revision>
  <dcterms:created xsi:type="dcterms:W3CDTF">2010-09-29T16:41:00Z</dcterms:created>
  <dcterms:modified xsi:type="dcterms:W3CDTF">2010-09-29T20:55:00Z</dcterms:modified>
</cp:coreProperties>
</file>