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CF55F1" w:rsidP="006E456C">
      <w:pPr>
        <w:spacing w:before="100" w:beforeAutospacing="1" w:after="100" w:afterAutospacing="1" w:line="240" w:lineRule="auto"/>
        <w:jc w:val="center"/>
        <w:outlineLvl w:val="1"/>
        <w:rPr>
          <w:rFonts w:eastAsia="Times New Roman" w:cs="Times New Roman"/>
          <w:b/>
          <w:bCs/>
          <w:sz w:val="36"/>
          <w:szCs w:val="36"/>
        </w:rPr>
      </w:pPr>
      <w:r w:rsidRPr="005D59DE">
        <w:rPr>
          <w:rFonts w:eastAsia="Times New Roman" w:cs="Times New Roman"/>
          <w:b/>
          <w:bCs/>
          <w:sz w:val="36"/>
          <w:szCs w:val="36"/>
        </w:rPr>
        <w:t>English 11</w:t>
      </w:r>
    </w:p>
    <w:p w:rsidR="00CF55F1" w:rsidRPr="005D59DE" w:rsidRDefault="00CF55F1" w:rsidP="006E456C">
      <w:pPr>
        <w:spacing w:before="100" w:beforeAutospacing="1" w:after="100" w:afterAutospacing="1" w:line="240" w:lineRule="auto"/>
        <w:jc w:val="center"/>
        <w:outlineLvl w:val="1"/>
        <w:rPr>
          <w:rFonts w:eastAsia="Times New Roman" w:cs="Times New Roman"/>
          <w:b/>
          <w:bCs/>
          <w:sz w:val="36"/>
          <w:szCs w:val="36"/>
        </w:rPr>
      </w:pPr>
      <w:r w:rsidRPr="005D59DE">
        <w:rPr>
          <w:rFonts w:eastAsia="Times New Roman" w:cs="Times New Roman"/>
          <w:b/>
          <w:bCs/>
          <w:sz w:val="36"/>
          <w:szCs w:val="36"/>
        </w:rPr>
        <w:t>Academic Reading and Critical Thinking</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890EA7" w:rsidRDefault="00CF55F1" w:rsidP="006E456C">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Default="00CF55F1" w:rsidP="006E456C">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EA6FC7" w:rsidRPr="00EA6FC7" w:rsidRDefault="00EA6FC7" w:rsidP="00EA6FC7">
      <w:pPr>
        <w:numPr>
          <w:ilvl w:val="0"/>
          <w:numId w:val="13"/>
        </w:numPr>
        <w:spacing w:before="100" w:beforeAutospacing="1" w:after="100" w:afterAutospacing="1" w:line="240" w:lineRule="auto"/>
      </w:pPr>
      <w:r>
        <w:t xml:space="preserve">Student chat/Office hours: </w:t>
      </w:r>
      <w:hyperlink r:id="rId5" w:history="1">
        <w:r w:rsidRPr="00460731">
          <w:rPr>
            <w:rStyle w:val="Hyperlink"/>
          </w:rPr>
          <w:t>Wednesdays 10:00 to 11:40 a.m. via Zoom</w:t>
        </w:r>
      </w:hyperlink>
      <w:r>
        <w:t>/email</w:t>
      </w:r>
      <w:r w:rsidRPr="005D59DE">
        <w:t xml:space="preserve">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This is a transfer-level course designed to introduce students to critical thinking as critical reading in academic discourse. Students will analyze, interpret, critically evaluate, and advocate ideas. This course covers literal and critical thinking levels of academic reading, and it </w:t>
      </w:r>
      <w:proofErr w:type="gramStart"/>
      <w:r w:rsidRPr="005D59DE">
        <w:rPr>
          <w:rFonts w:eastAsia="Times New Roman" w:cs="Times New Roman"/>
          <w:sz w:val="24"/>
          <w:szCs w:val="24"/>
        </w:rPr>
        <w:t>is designed</w:t>
      </w:r>
      <w:proofErr w:type="gramEnd"/>
      <w:r w:rsidRPr="005D59DE">
        <w:rPr>
          <w:rFonts w:eastAsia="Times New Roman" w:cs="Times New Roman"/>
          <w:sz w:val="24"/>
          <w:szCs w:val="24"/>
        </w:rPr>
        <w:t xml:space="preserve"> in modules focusing on specific academic reading themes, content areas, and strategies. This is a variable-unit course, and students may take from 0.5 to </w:t>
      </w:r>
      <w:proofErr w:type="gramStart"/>
      <w:r w:rsidRPr="005D59DE">
        <w:rPr>
          <w:rFonts w:eastAsia="Times New Roman" w:cs="Times New Roman"/>
          <w:sz w:val="24"/>
          <w:szCs w:val="24"/>
        </w:rPr>
        <w:t>3</w:t>
      </w:r>
      <w:proofErr w:type="gramEnd"/>
      <w:r w:rsidRPr="005D59DE">
        <w:rPr>
          <w:rFonts w:eastAsia="Times New Roman" w:cs="Times New Roman"/>
          <w:sz w:val="24"/>
          <w:szCs w:val="24"/>
        </w:rPr>
        <w:t xml:space="preserve"> units. This course </w:t>
      </w:r>
      <w:proofErr w:type="gramStart"/>
      <w:r w:rsidRPr="005D59DE">
        <w:rPr>
          <w:rFonts w:eastAsia="Times New Roman" w:cs="Times New Roman"/>
          <w:sz w:val="24"/>
          <w:szCs w:val="24"/>
        </w:rPr>
        <w:t>can be taken</w:t>
      </w:r>
      <w:proofErr w:type="gramEnd"/>
      <w:r w:rsidRPr="005D59DE">
        <w:rPr>
          <w:rFonts w:eastAsia="Times New Roman" w:cs="Times New Roman"/>
          <w:sz w:val="24"/>
          <w:szCs w:val="24"/>
        </w:rPr>
        <w:t xml:space="preserve"> in conjunction with any college course where students read, analyze, and evaluate academic texts. (A, CSU)</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Study Hours</w:t>
      </w:r>
    </w:p>
    <w:p w:rsidR="00304A8A" w:rsidRPr="00304A8A" w:rsidRDefault="00304A8A" w:rsidP="00CF55F1">
      <w:pPr>
        <w:spacing w:before="100" w:beforeAutospacing="1" w:after="100" w:afterAutospacing="1" w:line="240" w:lineRule="auto"/>
        <w:outlineLvl w:val="2"/>
        <w:rPr>
          <w:rFonts w:eastAsia="Times New Roman" w:cs="Times New Roman"/>
          <w:bCs/>
          <w:sz w:val="24"/>
          <w:szCs w:val="24"/>
        </w:rPr>
      </w:pPr>
      <w:r w:rsidRPr="00304A8A">
        <w:rPr>
          <w:rFonts w:eastAsia="Times New Roman" w:cs="Times New Roman"/>
          <w:bCs/>
          <w:sz w:val="24"/>
          <w:szCs w:val="24"/>
        </w:rPr>
        <w:t>Students earn 0.5 units for about 25 hours of studying. Please look at your weekly calendar to identify the time that you will spend in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Textbook and Materials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All materials are available </w:t>
      </w:r>
      <w:proofErr w:type="gramStart"/>
      <w:r w:rsidRPr="005D59DE">
        <w:rPr>
          <w:rFonts w:eastAsia="Times New Roman" w:cs="Times New Roman"/>
          <w:sz w:val="24"/>
          <w:szCs w:val="24"/>
        </w:rPr>
        <w:t>for free</w:t>
      </w:r>
      <w:proofErr w:type="gramEnd"/>
      <w:r w:rsidRPr="005D59DE">
        <w:rPr>
          <w:rFonts w:eastAsia="Times New Roman" w:cs="Times New Roman"/>
          <w:sz w:val="24"/>
          <w:szCs w:val="24"/>
        </w:rPr>
        <w:t xml:space="preserve"> through the course modules.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6E456C" w:rsidRPr="005D59DE"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Pr>
          <w:rFonts w:eastAsia="Times New Roman" w:cs="Times New Roman"/>
          <w:sz w:val="24"/>
          <w:szCs w:val="24"/>
        </w:rPr>
        <w:t>f you have a question</w:t>
      </w:r>
      <w:r w:rsidRPr="005D59DE">
        <w:rPr>
          <w:rFonts w:eastAsia="Times New Roman" w:cs="Times New Roman"/>
          <w:sz w:val="24"/>
          <w:szCs w:val="24"/>
        </w:rPr>
        <w:t xml:space="preserve"> regarding this course, please contact me via </w:t>
      </w:r>
      <w:proofErr w:type="gramStart"/>
      <w:r w:rsidRPr="005D59DE">
        <w:rPr>
          <w:rFonts w:eastAsia="Times New Roman" w:cs="Times New Roman"/>
          <w:sz w:val="24"/>
          <w:szCs w:val="24"/>
        </w:rPr>
        <w:t>email;</w:t>
      </w:r>
      <w:proofErr w:type="gramEnd"/>
      <w:r w:rsidRPr="005D59DE">
        <w:rPr>
          <w:rFonts w:eastAsia="Times New Roman" w:cs="Times New Roman"/>
          <w:sz w:val="24"/>
          <w:szCs w:val="24"/>
        </w:rPr>
        <w:t xml:space="preserve"> I will respond within 24 hours</w:t>
      </w:r>
      <w:r>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rsidR="006E456C"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Pr>
          <w:rFonts w:eastAsia="Times New Roman" w:cs="Times New Roman"/>
          <w:sz w:val="24"/>
          <w:szCs w:val="24"/>
        </w:rPr>
        <w:t>d like to meet with me,</w:t>
      </w:r>
      <w:r w:rsidRPr="005D59DE">
        <w:rPr>
          <w:rFonts w:eastAsia="Times New Roman" w:cs="Times New Roman"/>
          <w:sz w:val="24"/>
          <w:szCs w:val="24"/>
        </w:rPr>
        <w:t xml:space="preserve"> see me during my regular </w:t>
      </w:r>
      <w:r>
        <w:rPr>
          <w:rFonts w:eastAsia="Times New Roman" w:cs="Times New Roman"/>
          <w:sz w:val="24"/>
          <w:szCs w:val="24"/>
        </w:rPr>
        <w:t>student chat/office hours. You are also welcome to see me by appointment when</w:t>
      </w:r>
      <w:r w:rsidRPr="005D59DE">
        <w:rPr>
          <w:rFonts w:eastAsia="Times New Roman" w:cs="Times New Roman"/>
          <w:sz w:val="24"/>
          <w:szCs w:val="24"/>
        </w:rPr>
        <w:t xml:space="preserve"> needed.</w:t>
      </w:r>
    </w:p>
    <w:p w:rsidR="006E456C" w:rsidRPr="003C41B7" w:rsidRDefault="006E456C" w:rsidP="006E456C">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Drops</w:t>
      </w:r>
    </w:p>
    <w:p w:rsidR="006E456C" w:rsidRPr="006E456C" w:rsidRDefault="00304A8A" w:rsidP="00CF55F1">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 xml:space="preserve">Students have to </w:t>
      </w:r>
      <w:proofErr w:type="gramStart"/>
      <w:r>
        <w:rPr>
          <w:rFonts w:eastAsia="Times New Roman" w:cs="Times New Roman"/>
          <w:bCs/>
          <w:sz w:val="24"/>
          <w:szCs w:val="24"/>
        </w:rPr>
        <w:t>be</w:t>
      </w:r>
      <w:r w:rsidR="006E456C" w:rsidRPr="003C41B7">
        <w:rPr>
          <w:rFonts w:eastAsia="Times New Roman" w:cs="Times New Roman"/>
          <w:bCs/>
          <w:sz w:val="24"/>
          <w:szCs w:val="24"/>
        </w:rPr>
        <w:t xml:space="preserve"> dropped</w:t>
      </w:r>
      <w:proofErr w:type="gramEnd"/>
      <w:r w:rsidR="006E456C" w:rsidRPr="003C41B7">
        <w:rPr>
          <w:rFonts w:eastAsia="Times New Roman" w:cs="Times New Roman"/>
          <w:bCs/>
          <w:sz w:val="24"/>
          <w:szCs w:val="24"/>
        </w:rPr>
        <w:t xml:space="preserve"> from the</w:t>
      </w:r>
      <w:r w:rsidR="006E456C">
        <w:rPr>
          <w:rFonts w:eastAsia="Times New Roman" w:cs="Times New Roman"/>
          <w:bCs/>
          <w:sz w:val="24"/>
          <w:szCs w:val="24"/>
        </w:rPr>
        <w:t xml:space="preserve"> course as no shows if they do</w:t>
      </w:r>
      <w:r>
        <w:rPr>
          <w:rFonts w:eastAsia="Times New Roman" w:cs="Times New Roman"/>
          <w:bCs/>
          <w:sz w:val="24"/>
          <w:szCs w:val="24"/>
        </w:rPr>
        <w:t xml:space="preserve"> not</w:t>
      </w:r>
      <w:r w:rsidR="006E456C" w:rsidRPr="003C41B7">
        <w:rPr>
          <w:rFonts w:eastAsia="Times New Roman" w:cs="Times New Roman"/>
          <w:bCs/>
          <w:sz w:val="24"/>
          <w:szCs w:val="24"/>
        </w:rPr>
        <w:t xml:space="preserve"> log into class on Canvas on the first day. Studen</w:t>
      </w:r>
      <w:r w:rsidR="006E456C">
        <w:rPr>
          <w:rFonts w:eastAsia="Times New Roman" w:cs="Times New Roman"/>
          <w:bCs/>
          <w:sz w:val="24"/>
          <w:szCs w:val="24"/>
        </w:rPr>
        <w:t xml:space="preserve">ts </w:t>
      </w:r>
      <w:proofErr w:type="gramStart"/>
      <w:r w:rsidR="006E456C">
        <w:rPr>
          <w:rFonts w:eastAsia="Times New Roman" w:cs="Times New Roman"/>
          <w:bCs/>
          <w:sz w:val="24"/>
          <w:szCs w:val="24"/>
        </w:rPr>
        <w:t>are also dropped</w:t>
      </w:r>
      <w:proofErr w:type="gramEnd"/>
      <w:r w:rsidR="006E456C">
        <w:rPr>
          <w:rFonts w:eastAsia="Times New Roman" w:cs="Times New Roman"/>
          <w:bCs/>
          <w:sz w:val="24"/>
          <w:szCs w:val="24"/>
        </w:rPr>
        <w:t xml:space="preserve"> if they do not</w:t>
      </w:r>
      <w:r w:rsidR="006E456C" w:rsidRPr="003C41B7">
        <w:rPr>
          <w:rFonts w:eastAsia="Times New Roman" w:cs="Times New Roman"/>
          <w:bCs/>
          <w:sz w:val="24"/>
          <w:szCs w:val="24"/>
        </w:rPr>
        <w:t xml:space="preserve"> to submit two assi</w:t>
      </w:r>
      <w:r w:rsidR="006E456C">
        <w:rPr>
          <w:rFonts w:eastAsia="Times New Roman" w:cs="Times New Roman"/>
          <w:bCs/>
          <w:sz w:val="24"/>
          <w:szCs w:val="24"/>
        </w:rPr>
        <w:t>gnments by the end of week two</w:t>
      </w:r>
      <w:r w:rsidR="007E34EF">
        <w:rPr>
          <w:rFonts w:eastAsia="Times New Roman" w:cs="Times New Roman"/>
          <w:bCs/>
          <w:sz w:val="24"/>
          <w:szCs w:val="24"/>
        </w:rPr>
        <w:t xml:space="preserve"> or three</w:t>
      </w:r>
      <w:r w:rsidR="006E456C" w:rsidRPr="003C41B7">
        <w:rPr>
          <w:rFonts w:eastAsia="Times New Roman" w:cs="Times New Roman"/>
          <w:bCs/>
          <w:sz w:val="24"/>
          <w:szCs w:val="24"/>
        </w:rPr>
        <w:t xml:space="preserve"> assignments by the end o</w:t>
      </w:r>
      <w:r w:rsidR="006E456C">
        <w:rPr>
          <w:rFonts w:eastAsia="Times New Roman" w:cs="Times New Roman"/>
          <w:bCs/>
          <w:sz w:val="24"/>
          <w:szCs w:val="24"/>
        </w:rPr>
        <w:t>f week three</w:t>
      </w:r>
      <w:r w:rsidR="006E456C" w:rsidRPr="003C41B7">
        <w:rPr>
          <w:rFonts w:eastAsia="Times New Roman" w:cs="Times New Roman"/>
          <w:bCs/>
          <w:sz w:val="24"/>
          <w:szCs w:val="24"/>
        </w:rPr>
        <w: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Attendance and Participation </w:t>
      </w:r>
    </w:p>
    <w:p w:rsidR="00CF55F1" w:rsidRPr="005D59DE" w:rsidRDefault="006E456C"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w:t>
      </w:r>
      <w:proofErr w:type="gramStart"/>
      <w:r w:rsidR="00CF55F1" w:rsidRPr="005D59DE">
        <w:rPr>
          <w:rFonts w:eastAsia="Times New Roman" w:cs="Times New Roman"/>
          <w:sz w:val="24"/>
          <w:szCs w:val="24"/>
        </w:rPr>
        <w:t>to actively participate</w:t>
      </w:r>
      <w:proofErr w:type="gramEnd"/>
      <w:r w:rsidR="00CF55F1" w:rsidRPr="005D59DE">
        <w:rPr>
          <w:rFonts w:eastAsia="Times New Roman" w:cs="Times New Roman"/>
          <w:sz w:val="24"/>
          <w:szCs w:val="24"/>
        </w:rPr>
        <w:t xml:space="preserve"> in scheduled activities every week. These activities might include discussions, assignment submissions, quizzes and tests, etc. Failure to participate in a graded activity or failure to submit an assignment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CF55F1" w:rsidRPr="005D59DE" w:rsidRDefault="006E456C" w:rsidP="00CF55F1">
      <w:pPr>
        <w:spacing w:before="100" w:beforeAutospacing="1" w:after="100" w:afterAutospacing="1" w:line="240" w:lineRule="auto"/>
        <w:rPr>
          <w:rFonts w:eastAsia="Times New Roman" w:cs="Times New Roman"/>
          <w:sz w:val="24"/>
          <w:szCs w:val="24"/>
        </w:rPr>
      </w:pPr>
      <w:r w:rsidRPr="006E456C">
        <w:rPr>
          <w:rFonts w:eastAsia="Times New Roman" w:cs="Times New Roman"/>
          <w:sz w:val="24"/>
          <w:szCs w:val="24"/>
        </w:rPr>
        <w:t xml:space="preserve">You may use a free pass on any two assignments of your choice -- they have to be two different types of assignments (e.g. a quiz and a discussion; a discussion and an assignment; or a quiz and an assignment). Major assignments worth more than 30 points </w:t>
      </w:r>
      <w:proofErr w:type="gramStart"/>
      <w:r w:rsidRPr="006E456C">
        <w:rPr>
          <w:rFonts w:eastAsia="Times New Roman" w:cs="Times New Roman"/>
          <w:sz w:val="24"/>
          <w:szCs w:val="24"/>
        </w:rPr>
        <w:t>cannot be used</w:t>
      </w:r>
      <w:proofErr w:type="gramEnd"/>
      <w:r w:rsidRPr="006E456C">
        <w:rPr>
          <w:rFonts w:eastAsia="Times New Roman" w:cs="Times New Roman"/>
          <w:sz w:val="24"/>
          <w:szCs w:val="24"/>
        </w:rPr>
        <w:t xml:space="preserve"> for a free pass. </w:t>
      </w:r>
      <w:r w:rsidR="00CF55F1" w:rsidRPr="005D59DE">
        <w:rPr>
          <w:rFonts w:eastAsia="Times New Roman" w:cs="Times New Roman"/>
          <w:sz w:val="24"/>
          <w:szCs w:val="24"/>
        </w:rPr>
        <w:t xml:space="preserve">Late assignments are not </w:t>
      </w:r>
      <w:r>
        <w:rPr>
          <w:rFonts w:eastAsia="Times New Roman" w:cs="Times New Roman"/>
          <w:sz w:val="24"/>
          <w:szCs w:val="24"/>
        </w:rPr>
        <w:t xml:space="preserve">generally </w:t>
      </w:r>
      <w:r w:rsidR="00CF55F1" w:rsidRPr="005D59DE">
        <w:rPr>
          <w:rFonts w:eastAsia="Times New Roman" w:cs="Times New Roman"/>
          <w:sz w:val="24"/>
          <w:szCs w:val="24"/>
        </w:rPr>
        <w:t xml:space="preserve">accepted; exceptions </w:t>
      </w:r>
      <w:proofErr w:type="gramStart"/>
      <w:r w:rsidR="00CF55F1" w:rsidRPr="005D59DE">
        <w:rPr>
          <w:rFonts w:eastAsia="Times New Roman" w:cs="Times New Roman"/>
          <w:sz w:val="24"/>
          <w:szCs w:val="24"/>
        </w:rPr>
        <w:t>might be made</w:t>
      </w:r>
      <w:proofErr w:type="gramEnd"/>
      <w:r w:rsidR="00CF55F1" w:rsidRPr="005D59DE">
        <w:rPr>
          <w:rFonts w:eastAsia="Times New Roman" w:cs="Times New Roman"/>
          <w:sz w:val="24"/>
          <w:szCs w:val="24"/>
        </w:rPr>
        <w:t xml:space="preserve"> only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5D59DE">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5D59DE">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rsidR="00890EA7" w:rsidRPr="006E456C" w:rsidRDefault="00CF55F1" w:rsidP="006E456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r w:rsidR="00890EA7">
        <w:t xml:space="preserve"> </w:t>
      </w:r>
    </w:p>
    <w:p w:rsidR="00EA6FC7" w:rsidRDefault="00EA6FC7" w:rsidP="00EA6FC7">
      <w:pPr>
        <w:spacing w:before="100" w:beforeAutospacing="1" w:after="100" w:afterAutospacing="1"/>
        <w:ind w:left="720"/>
      </w:pPr>
      <w:r w:rsidRPr="00032978">
        <w:t>Apri</w:t>
      </w:r>
      <w:r>
        <w:t xml:space="preserve">l 11-15 </w:t>
      </w:r>
      <w:r>
        <w:tab/>
        <w:t xml:space="preserve">Spring recess (Classes </w:t>
      </w:r>
      <w:r w:rsidRPr="00032978">
        <w:t>reconvene April 6)</w:t>
      </w:r>
      <w:r w:rsidRPr="00A927E1">
        <w:t xml:space="preserve"> </w:t>
      </w:r>
    </w:p>
    <w:p w:rsidR="00EA6FC7" w:rsidRPr="00032978" w:rsidRDefault="00EA6FC7" w:rsidP="00EA6FC7">
      <w:pPr>
        <w:spacing w:before="100" w:beforeAutospacing="1" w:after="100" w:afterAutospacing="1"/>
        <w:ind w:left="720"/>
      </w:pPr>
      <w:r w:rsidRPr="00032978">
        <w:t xml:space="preserve">May 16-20 </w:t>
      </w:r>
      <w:r>
        <w:tab/>
      </w:r>
      <w:r w:rsidRPr="00032978">
        <w:t>Final examinations</w:t>
      </w:r>
    </w:p>
    <w:p w:rsidR="00EA6FC7" w:rsidRDefault="00EA6FC7" w:rsidP="00EA6FC7">
      <w:pPr>
        <w:spacing w:before="100" w:beforeAutospacing="1" w:after="100" w:afterAutospacing="1"/>
        <w:ind w:left="720"/>
      </w:pPr>
      <w:r w:rsidRPr="00032978">
        <w:t xml:space="preserve">May 20 </w:t>
      </w:r>
      <w:r>
        <w:tab/>
      </w:r>
      <w:r>
        <w:tab/>
      </w:r>
      <w:r w:rsidRPr="00032978">
        <w:t xml:space="preserve">End of Spring Semester </w:t>
      </w:r>
      <w:proofErr w:type="gramStart"/>
      <w:r w:rsidRPr="00032978">
        <w:t>2022</w:t>
      </w:r>
      <w:proofErr w:type="gramEnd"/>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literal comprehension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critical thinking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Apply active reading strategies to reading academic material</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      Apply active reading strategies to reading academic material: reading as a process, metacognition, and annotations.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      Apply vocabulary skills by using context clues, morphological clues, and dictionary to discern word meanings.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3.      Identify structure of academic texts by finding the topic, stated or implied main idea, and supporting details.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4.      Identify author's thought patterns/patterns of organization.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      Create a summary, outline, or map that reflects the text's structure and thought pattern.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      Draw inferences based on textual evidence.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      Differentiate fact from opinion.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      Evaluate author's intent by analyzing author's point of view, intended audience, tone, and purpose.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      Evaluate arguments by identifying its structure, relevancy and adequacy of support, bias, and logical fallacies.</w:t>
      </w:r>
    </w:p>
    <w:p w:rsidR="00CF55F1" w:rsidRPr="005D59DE" w:rsidRDefault="00CF55F1" w:rsidP="00CF55F1">
      <w:p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10.  Conduct guided research and evaluate the competence of information gained from research.</w:t>
      </w:r>
      <w:proofErr w:type="gramEnd"/>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11.  Apply various formatting styles (e.g. MLA, APA, etc.)</w:t>
      </w:r>
    </w:p>
    <w:p w:rsidR="00890EA7" w:rsidRDefault="00890EA7" w:rsidP="00890EA7">
      <w:pPr>
        <w:spacing w:before="100" w:beforeAutospacing="1" w:after="100" w:afterAutospacing="1"/>
        <w:outlineLvl w:val="2"/>
        <w:rPr>
          <w:b/>
          <w:bCs/>
          <w:sz w:val="27"/>
          <w:szCs w:val="27"/>
        </w:rPr>
      </w:pPr>
      <w:r>
        <w:rPr>
          <w:b/>
          <w:bCs/>
          <w:sz w:val="27"/>
          <w:szCs w:val="27"/>
        </w:rPr>
        <w:t>Required Hardware</w:t>
      </w:r>
    </w:p>
    <w:p w:rsidR="00890EA7" w:rsidRPr="0084127E" w:rsidRDefault="00890EA7" w:rsidP="00890EA7">
      <w:pPr>
        <w:pStyle w:val="ListParagraph"/>
        <w:numPr>
          <w:ilvl w:val="0"/>
          <w:numId w:val="10"/>
        </w:numPr>
        <w:spacing w:before="100" w:beforeAutospacing="1" w:after="100" w:afterAutospacing="1"/>
        <w:outlineLvl w:val="2"/>
        <w:rPr>
          <w:bCs/>
        </w:rPr>
      </w:pPr>
      <w:r w:rsidRPr="00E55F6A">
        <w:rPr>
          <w:bCs/>
        </w:rPr>
        <w:t>Computer, laptop, or tablet (smart phone is not an adequate device to complete coursework)</w:t>
      </w:r>
    </w:p>
    <w:p w:rsidR="00890EA7" w:rsidRPr="006603E1" w:rsidRDefault="00890EA7" w:rsidP="00890EA7">
      <w:pPr>
        <w:pStyle w:val="Heading2"/>
        <w:rPr>
          <w:rFonts w:eastAsia="Arial Unicode MS"/>
        </w:rPr>
      </w:pPr>
      <w:r w:rsidRPr="00BC7795">
        <w:rPr>
          <w:rFonts w:eastAsia="Arial Unicode MS"/>
        </w:rPr>
        <w:t>Required Software</w:t>
      </w:r>
    </w:p>
    <w:p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6" w:history="1">
        <w:r w:rsidR="00890EA7" w:rsidRPr="00BC7795">
          <w:rPr>
            <w:rFonts w:ascii="Calibri" w:eastAsia="Arial Unicode MS" w:hAnsi="Calibri"/>
            <w:color w:val="0000FF"/>
            <w:u w:val="single"/>
          </w:rPr>
          <w:t>Firefox</w:t>
        </w:r>
      </w:hyperlink>
      <w:r w:rsidR="00890EA7" w:rsidRPr="00BC7795">
        <w:rPr>
          <w:rFonts w:ascii="Calibri" w:eastAsia="Arial Unicode MS" w:hAnsi="Calibri"/>
          <w:color w:val="000000"/>
        </w:rPr>
        <w:t xml:space="preserve"> or </w:t>
      </w:r>
      <w:hyperlink r:id="rId7" w:history="1">
        <w:r w:rsidR="00890EA7" w:rsidRPr="00BC7795">
          <w:rPr>
            <w:rFonts w:ascii="Calibri" w:eastAsia="Arial Unicode MS" w:hAnsi="Calibri"/>
            <w:color w:val="0000FF"/>
            <w:u w:val="single"/>
          </w:rPr>
          <w:t>Chrome</w:t>
        </w:r>
      </w:hyperlink>
    </w:p>
    <w:p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8" w:history="1">
        <w:r w:rsidR="00890EA7" w:rsidRPr="00BC7795">
          <w:rPr>
            <w:rFonts w:ascii="Calibri" w:eastAsia="Arial Unicode MS" w:hAnsi="Calibri"/>
            <w:color w:val="0000FF"/>
            <w:u w:val="single"/>
          </w:rPr>
          <w:t>Adobe Reader</w:t>
        </w:r>
      </w:hyperlink>
    </w:p>
    <w:p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9" w:history="1">
        <w:r w:rsidR="00890EA7" w:rsidRPr="00BC7795">
          <w:rPr>
            <w:rFonts w:ascii="Calibri" w:eastAsia="Arial Unicode MS" w:hAnsi="Calibri"/>
            <w:color w:val="0000FF"/>
            <w:u w:val="single"/>
          </w:rPr>
          <w:t>Microsoft Office 365</w:t>
        </w:r>
      </w:hyperlink>
    </w:p>
    <w:p w:rsidR="00890EA7" w:rsidRPr="006603E1" w:rsidRDefault="00890EA7" w:rsidP="00890EA7">
      <w:pPr>
        <w:pStyle w:val="Heading2"/>
        <w:rPr>
          <w:rFonts w:eastAsia="Arial Unicode MS"/>
        </w:rPr>
      </w:pPr>
      <w:r w:rsidRPr="00BC7795">
        <w:rPr>
          <w:rFonts w:eastAsia="Arial Unicode MS"/>
        </w:rPr>
        <w:t>Helpful Links</w:t>
      </w:r>
    </w:p>
    <w:p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r w:rsidR="00890EA7" w:rsidRPr="0084127E">
        <w:rPr>
          <w:rFonts w:ascii="Calibri" w:eastAsia="Arial Unicode MS" w:hAnsi="Calibri"/>
          <w:color w:val="0000FF"/>
          <w:u w:val="single"/>
        </w:rPr>
        <w:t>DSP&amp;S Office</w:t>
      </w:r>
    </w:p>
    <w:p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Style w:val="Hyperlink"/>
          <w:rFonts w:ascii="Calibri" w:eastAsia="Arial Unicode MS" w:hAnsi="Calibri"/>
        </w:rPr>
        <w:t xml:space="preserve">   </w:t>
      </w:r>
      <w:hyperlink r:id="rId10" w:history="1">
        <w:r w:rsidR="00890EA7" w:rsidRPr="0084127E">
          <w:rPr>
            <w:rStyle w:val="Hyperlink"/>
            <w:rFonts w:ascii="Calibri" w:eastAsia="Arial Unicode MS" w:hAnsi="Calibri"/>
          </w:rPr>
          <w:t>Reading and Writing Center Online</w:t>
        </w:r>
      </w:hyperlink>
      <w:r w:rsidR="00890EA7" w:rsidRPr="0084127E">
        <w:rPr>
          <w:rFonts w:ascii="Calibri" w:eastAsia="Arial Unicode MS" w:hAnsi="Calibri"/>
          <w:color w:val="000000"/>
        </w:rPr>
        <w:t xml:space="preserve"> </w:t>
      </w:r>
    </w:p>
    <w:p w:rsidR="00890EA7" w:rsidRDefault="00EA6FC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1" w:history="1">
        <w:r w:rsidR="00890EA7" w:rsidRPr="0084127E">
          <w:rPr>
            <w:rFonts w:ascii="Calibri" w:eastAsia="Arial Unicode MS" w:hAnsi="Calibri"/>
            <w:color w:val="0000FF"/>
            <w:u w:val="single"/>
          </w:rPr>
          <w:t>Online Student Readiness Tutorials</w:t>
        </w:r>
      </w:hyperlink>
      <w:r w:rsidR="00890EA7" w:rsidRPr="00BC7795">
        <w:rPr>
          <w:rFonts w:ascii="Calibri" w:eastAsia="Arial Unicode MS" w:hAnsi="Calibri"/>
          <w:color w:val="000000"/>
          <w:sz w:val="28"/>
          <w:szCs w:val="28"/>
        </w:rPr>
        <w:t xml:space="preserve"> </w:t>
      </w:r>
    </w:p>
    <w:p w:rsidR="00890EA7" w:rsidRPr="00890EA7" w:rsidRDefault="00EA6FC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2" w:anchor="jive_content_id_Introduction" w:history="1">
        <w:r w:rsidR="00890EA7" w:rsidRPr="00890EA7">
          <w:rPr>
            <w:rFonts w:ascii="Calibri" w:eastAsia="Arial Unicode MS" w:hAnsi="Calibri"/>
            <w:color w:val="0000FF"/>
            <w:u w:val="single"/>
          </w:rPr>
          <w:t>Canvas Student Guide</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6E456C" w:rsidRPr="006E456C" w:rsidRDefault="006E456C" w:rsidP="006E456C">
      <w:pPr>
        <w:numPr>
          <w:ilvl w:val="0"/>
          <w:numId w:val="14"/>
        </w:numPr>
        <w:spacing w:after="0" w:line="240" w:lineRule="auto"/>
        <w:rPr>
          <w:rFonts w:ascii="Calibri" w:hAnsi="Calibri"/>
        </w:rPr>
      </w:pPr>
      <w:r w:rsidRPr="006E456C">
        <w:rPr>
          <w:rFonts w:asciiTheme="majorHAnsi" w:eastAsiaTheme="majorEastAsia" w:hAnsiTheme="majorHAnsi" w:cstheme="majorBidi"/>
          <w:b/>
          <w:bCs/>
          <w:sz w:val="24"/>
          <w:szCs w:val="24"/>
        </w:rPr>
        <w:t>Cheating</w:t>
      </w:r>
      <w:r w:rsidRPr="006E456C">
        <w:rPr>
          <w:rFonts w:ascii="Calibri" w:hAnsi="Calibri"/>
        </w:rPr>
        <w:t xml:space="preserve"> is the actual or attempted practice of fraudulent or deceptive acts </w:t>
      </w:r>
      <w:proofErr w:type="gramStart"/>
      <w:r w:rsidRPr="006E456C">
        <w:rPr>
          <w:rFonts w:ascii="Calibri" w:hAnsi="Calibri"/>
        </w:rPr>
        <w:t>for the purpose of</w:t>
      </w:r>
      <w:proofErr w:type="gramEnd"/>
      <w:r w:rsidRPr="006E456C">
        <w:rPr>
          <w:rFonts w:ascii="Calibri" w:hAnsi="Calibri"/>
        </w:rPr>
        <w:t xml:space="preserve">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E456C" w:rsidRPr="006E456C" w:rsidRDefault="006E456C" w:rsidP="006E456C">
      <w:pPr>
        <w:numPr>
          <w:ilvl w:val="0"/>
          <w:numId w:val="14"/>
        </w:numPr>
        <w:spacing w:after="0" w:line="240" w:lineRule="auto"/>
        <w:rPr>
          <w:rFonts w:ascii="Calibri" w:hAnsi="Calibri"/>
        </w:rPr>
      </w:pPr>
      <w:r w:rsidRPr="006E456C">
        <w:rPr>
          <w:rFonts w:asciiTheme="majorHAnsi" w:eastAsiaTheme="majorEastAsia" w:hAnsiTheme="majorHAnsi" w:cstheme="majorBidi"/>
          <w:b/>
          <w:bCs/>
          <w:sz w:val="24"/>
          <w:szCs w:val="24"/>
        </w:rPr>
        <w:t>Plagiarism</w:t>
      </w:r>
      <w:r w:rsidRPr="006E456C">
        <w:rPr>
          <w:rFonts w:ascii="Calibri" w:hAnsi="Calibri"/>
          <w:b/>
        </w:rPr>
        <w:t xml:space="preserve"> </w:t>
      </w:r>
      <w:r w:rsidRPr="006E456C">
        <w:rPr>
          <w:rFonts w:ascii="Calibri" w:hAnsi="Calibri"/>
        </w:rPr>
        <w:t xml:space="preserve">is a specific form of cheating which consists of the misuse of the published and/or unpublished works of others by misrepresenting the material so used as one’s own work.  </w:t>
      </w:r>
      <w:proofErr w:type="gramStart"/>
      <w:r w:rsidRPr="006E456C">
        <w:rPr>
          <w:rFonts w:ascii="Calibri" w:hAnsi="Calibri"/>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6E456C">
        <w:rPr>
          <w:rFonts w:ascii="Calibri" w:hAnsi="Calibri"/>
        </w:rPr>
        <w:t xml:space="preserve">  </w:t>
      </w:r>
    </w:p>
    <w:p w:rsidR="006E456C" w:rsidRDefault="006E456C" w:rsidP="00EA6FC7">
      <w:pPr>
        <w:numPr>
          <w:ilvl w:val="0"/>
          <w:numId w:val="14"/>
        </w:numPr>
        <w:spacing w:after="0" w:line="240" w:lineRule="auto"/>
        <w:contextualSpacing/>
        <w:rPr>
          <w:rFonts w:ascii="Calibri" w:hAnsi="Calibri"/>
        </w:rPr>
      </w:pPr>
      <w:r w:rsidRPr="006E456C">
        <w:rPr>
          <w:rFonts w:ascii="Calibri" w:hAnsi="Calibri"/>
        </w:rP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w:t>
      </w:r>
      <w:proofErr w:type="gramStart"/>
      <w:r w:rsidRPr="006E456C">
        <w:rPr>
          <w:rFonts w:ascii="Calibri" w:hAnsi="Calibri"/>
        </w:rPr>
        <w:t>may also be reported</w:t>
      </w:r>
      <w:proofErr w:type="gramEnd"/>
      <w:r w:rsidRPr="006E456C">
        <w:rPr>
          <w:rFonts w:ascii="Calibri" w:hAnsi="Calibri"/>
        </w:rPr>
        <w:t xml:space="preserve"> to the dean. </w:t>
      </w:r>
      <w:r w:rsidRPr="006E456C">
        <w:rPr>
          <w:rFonts w:ascii="Calibri" w:eastAsia="Arial Unicode MS" w:hAnsi="Calibri"/>
          <w:color w:val="000000"/>
        </w:rPr>
        <w:t xml:space="preserve">If concepts of plagiarism and/or cheating are confusing, make sure to speak to me.  </w:t>
      </w:r>
    </w:p>
    <w:p w:rsidR="00EA6FC7" w:rsidRPr="00EA6FC7" w:rsidRDefault="00EA6FC7" w:rsidP="00EA6FC7">
      <w:pPr>
        <w:spacing w:after="0" w:line="240" w:lineRule="auto"/>
        <w:ind w:left="720"/>
        <w:contextualSpacing/>
        <w:rPr>
          <w:rFonts w:ascii="Calibri" w:hAnsi="Calibri"/>
        </w:rPr>
      </w:pPr>
      <w:bookmarkStart w:id="0" w:name="_GoBack"/>
      <w:bookmarkEnd w:id="0"/>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Information and Helpful Suggestions </w:t>
      </w:r>
    </w:p>
    <w:p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TTY (559) 638-0382.</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13"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BC78A6" w:rsidRPr="00890EA7" w:rsidRDefault="00CF55F1" w:rsidP="00890EA7">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8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16B2A"/>
    <w:multiLevelType w:val="multilevel"/>
    <w:tmpl w:val="F6B2A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2"/>
  </w:num>
  <w:num w:numId="5">
    <w:abstractNumId w:val="7"/>
  </w:num>
  <w:num w:numId="6">
    <w:abstractNumId w:val="2"/>
  </w:num>
  <w:num w:numId="7">
    <w:abstractNumId w:val="1"/>
  </w:num>
  <w:num w:numId="8">
    <w:abstractNumId w:val="8"/>
  </w:num>
  <w:num w:numId="9">
    <w:abstractNumId w:val="14"/>
  </w:num>
  <w:num w:numId="10">
    <w:abstractNumId w:val="0"/>
  </w:num>
  <w:num w:numId="11">
    <w:abstractNumId w:val="11"/>
  </w:num>
  <w:num w:numId="12">
    <w:abstractNumId w:val="4"/>
  </w:num>
  <w:num w:numId="13">
    <w:abstractNumId w:val="13"/>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304A8A"/>
    <w:rsid w:val="00542A9D"/>
    <w:rsid w:val="005D59DE"/>
    <w:rsid w:val="006E456C"/>
    <w:rsid w:val="007E34EF"/>
    <w:rsid w:val="00822195"/>
    <w:rsid w:val="00890EA7"/>
    <w:rsid w:val="00BC78A6"/>
    <w:rsid w:val="00CF55F1"/>
    <w:rsid w:val="00EA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36F1"/>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890EA7"/>
    <w:pPr>
      <w:keepNext/>
      <w:keepLines/>
      <w:spacing w:before="200"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6E45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EA7"/>
    <w:rPr>
      <w:rFonts w:eastAsiaTheme="majorEastAsia" w:cstheme="majorBidi"/>
      <w:b/>
      <w:bCs/>
      <w:sz w:val="26"/>
      <w:szCs w:val="26"/>
    </w:rPr>
  </w:style>
  <w:style w:type="paragraph" w:styleId="ListParagraph">
    <w:name w:val="List Paragraph"/>
    <w:basedOn w:val="Normal"/>
    <w:uiPriority w:val="34"/>
    <w:qFormat/>
    <w:rsid w:val="00890EA7"/>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890EA7"/>
    <w:rPr>
      <w:color w:val="0000FF"/>
      <w:u w:val="single"/>
    </w:rPr>
  </w:style>
  <w:style w:type="character" w:customStyle="1" w:styleId="Heading3Char">
    <w:name w:val="Heading 3 Char"/>
    <w:basedOn w:val="DefaultParagraphFont"/>
    <w:link w:val="Heading3"/>
    <w:uiPriority w:val="9"/>
    <w:semiHidden/>
    <w:rsid w:val="006E45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us/en/acrobat/pdf-reader.html" TargetMode="External"/><Relationship Id="rId13" Type="http://schemas.openxmlformats.org/officeDocument/2006/relationships/hyperlink" Target="https://www.scccd.edu/departments/information-systems/scccd-use-policy.html" TargetMode="External"/><Relationship Id="rId3" Type="http://schemas.openxmlformats.org/officeDocument/2006/relationships/settings" Target="settings.xml"/><Relationship Id="rId7" Type="http://schemas.openxmlformats.org/officeDocument/2006/relationships/hyperlink" Target="https://www.google.com/chrome/browser/desktop/index.html" TargetMode="External"/><Relationship Id="rId12" Type="http://schemas.openxmlformats.org/officeDocument/2006/relationships/hyperlink" Target="https://community.canvaslms.com/docs/DOC-4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zilla.org/en-US/firefox/new/" TargetMode="External"/><Relationship Id="rId11" Type="http://schemas.openxmlformats.org/officeDocument/2006/relationships/hyperlink" Target="http://apps.3cmediasolutions.org/oei/students.html" TargetMode="External"/><Relationship Id="rId5" Type="http://schemas.openxmlformats.org/officeDocument/2006/relationships/hyperlink" Target="https://scccd.zoom.us/j/96161135099" TargetMode="External"/><Relationship Id="rId15" Type="http://schemas.openxmlformats.org/officeDocument/2006/relationships/theme" Target="theme/theme1.xml"/><Relationship Id="rId10" Type="http://schemas.openxmlformats.org/officeDocument/2006/relationships/hyperlink" Target="http://www.reedleycollege.edu/academics/tutoring-services/reading-and-writing-center/reading-and-writing-center-online.html" TargetMode="External"/><Relationship Id="rId4" Type="http://schemas.openxmlformats.org/officeDocument/2006/relationships/webSettings" Target="webSettings.xml"/><Relationship Id="rId9" Type="http://schemas.openxmlformats.org/officeDocument/2006/relationships/hyperlink" Target="https://products.office.com/en-us/student/office-in-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2022-01-13T19:53:00Z</dcterms:created>
  <dcterms:modified xsi:type="dcterms:W3CDTF">2022-01-13T19:53:00Z</dcterms:modified>
</cp:coreProperties>
</file>