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A57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VISUAL CULTURE INTRO SYLLABUS</w:t>
      </w:r>
    </w:p>
    <w:p w14:paraId="3983F9BB" w14:textId="2F66F279"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ART-2-59489 VISUAL CULTURE INTRO | </w:t>
      </w:r>
      <w:r w:rsidR="005E484B">
        <w:rPr>
          <w:rFonts w:asciiTheme="minorHAnsi" w:hAnsiTheme="minorHAnsi" w:cstheme="minorHAnsi"/>
          <w:sz w:val="20"/>
          <w:szCs w:val="20"/>
        </w:rPr>
        <w:t>SUMMER 2020</w:t>
      </w:r>
      <w:r w:rsidRPr="00FA6932">
        <w:rPr>
          <w:rFonts w:asciiTheme="minorHAnsi" w:hAnsiTheme="minorHAnsi" w:cstheme="minorHAnsi"/>
          <w:sz w:val="20"/>
          <w:szCs w:val="20"/>
        </w:rPr>
        <w:t xml:space="preserve"> | 06/08/2020 - 07/01/2020</w:t>
      </w:r>
    </w:p>
    <w:p w14:paraId="1710435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Lecture: Internet Days to be Announced, Times to be Announced</w:t>
      </w:r>
    </w:p>
    <w:p w14:paraId="65F33FB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Reedley College, Room WEB | Reedley 100% Online</w:t>
      </w:r>
    </w:p>
    <w:p w14:paraId="3FE0E9D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3276943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INSTRUCTOR: THEODORE LYONS</w:t>
      </w:r>
    </w:p>
    <w:p w14:paraId="0A21296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E-mail: </w:t>
      </w:r>
      <w:hyperlink r:id="rId5" w:history="1">
        <w:r w:rsidRPr="00FA6932">
          <w:rPr>
            <w:rStyle w:val="Hyperlink"/>
            <w:rFonts w:asciiTheme="minorHAnsi" w:hAnsiTheme="minorHAnsi" w:cstheme="minorHAnsi"/>
            <w:sz w:val="20"/>
            <w:szCs w:val="20"/>
          </w:rPr>
          <w:t>theodore.lyons@reedleycollege.edu</w:t>
        </w:r>
      </w:hyperlink>
    </w:p>
    <w:p w14:paraId="353CF31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Office hours are by e-mail messaging (please allow up to 48 hours for a response)</w:t>
      </w:r>
    </w:p>
    <w:p w14:paraId="7E474B9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instructor reserves the right to adapt this contract should the need arise** </w:t>
      </w:r>
    </w:p>
    <w:p w14:paraId="102BD89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D1FFE20"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Course Description:</w:t>
      </w:r>
      <w:r w:rsidRPr="00FA6932">
        <w:rPr>
          <w:rFonts w:asciiTheme="minorHAnsi" w:hAnsiTheme="minorHAnsi" w:cstheme="minorHAnsi"/>
          <w:sz w:val="20"/>
          <w:szCs w:val="20"/>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4F650E74"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Prerequisites:</w:t>
      </w:r>
      <w:r w:rsidRPr="00FA6932">
        <w:rPr>
          <w:rFonts w:asciiTheme="minorHAnsi" w:hAnsiTheme="minorHAnsi" w:cstheme="minorHAnsi"/>
          <w:sz w:val="20"/>
          <w:szCs w:val="20"/>
        </w:rPr>
        <w:t>  This is a foundation class. No art background or prerequisites are necessary.</w:t>
      </w:r>
    </w:p>
    <w:p w14:paraId="72E869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92A32FD"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Student Learning Outcomes</w:t>
      </w:r>
      <w:r w:rsidRPr="00FA6932">
        <w:rPr>
          <w:rFonts w:asciiTheme="minorHAnsi" w:hAnsiTheme="minorHAnsi" w:cstheme="minorHAnsi"/>
          <w:sz w:val="20"/>
          <w:szCs w:val="20"/>
        </w:rPr>
        <w:t>:</w:t>
      </w:r>
    </w:p>
    <w:p w14:paraId="42F2EF8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Upon completion of the course, the student will be able to:</w:t>
      </w:r>
    </w:p>
    <w:p w14:paraId="7CDCAD51"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Recognize the functions and purposes of the visual arts in the everyday world, in one’s own life, and in the life of people around the world.</w:t>
      </w:r>
    </w:p>
    <w:p w14:paraId="38F1E600"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Write about a work of art using appropriate art terminology.</w:t>
      </w:r>
    </w:p>
    <w:p w14:paraId="3311654B"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Research and present a written analysis integrating and synthesizing sources to explain an artwork's aesthetic significance, its role as a transmitter of cultural values, and its role in the student’s emotional and intellectual life.</w:t>
      </w:r>
    </w:p>
    <w:p w14:paraId="3D67B92D"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Analyze, evaluate, and distinguish the processes and purposes of each art medium, including drawing, painting, printmaking, photography, sculpture, and architecture.</w:t>
      </w:r>
    </w:p>
    <w:p w14:paraId="4F37BF66"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the medium of a work of art and understand how each medium is distinguishable from another.</w:t>
      </w:r>
    </w:p>
    <w:p w14:paraId="28B693E8"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major art movements and artists associated with those movements from the prehistoric time period to the present.</w:t>
      </w:r>
    </w:p>
    <w:p w14:paraId="7F54FBAD"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the key stylistic features and historical contexts of art.</w:t>
      </w:r>
    </w:p>
    <w:p w14:paraId="7A48183A"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Demonstrate the ability to explore global/cultural diversity in art.</w:t>
      </w:r>
    </w:p>
    <w:p w14:paraId="3AD656FE"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Evaluate and critique works of art and architecture based on the formal elements and principles of design.</w:t>
      </w:r>
    </w:p>
    <w:p w14:paraId="4BD413BB"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Differentiate art historical methodologies.</w:t>
      </w:r>
    </w:p>
    <w:p w14:paraId="2205D56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4D7F26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lastRenderedPageBreak/>
        <w:t>Academic Accommodation:</w:t>
      </w:r>
      <w:r w:rsidRPr="00FA6932">
        <w:rPr>
          <w:rFonts w:asciiTheme="minorHAnsi" w:hAnsiTheme="minorHAnsi" w:cstheme="minorHAnsi"/>
          <w:sz w:val="20"/>
          <w:szCs w:val="20"/>
        </w:rPr>
        <w:t xml:space="preserve"> If you have a verified need for an academic accommodation or materials in alternate media per the Americans with Disabilities Act (ADA) or Section 504 of the Rehabilitation Act, please inform me as soon as possible. In addition, it is your responsibility to contact the Disabled Student Services Office to request Academic Accommodation. Documentation must be presented before accommodation can be provided.</w:t>
      </w:r>
    </w:p>
    <w:p w14:paraId="7B7A750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23E7E50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Attendance Policy:</w:t>
      </w:r>
      <w:r w:rsidRPr="00FA6932">
        <w:rPr>
          <w:rFonts w:asciiTheme="minorHAnsi" w:hAnsiTheme="minorHAnsi" w:cstheme="minorHAnsi"/>
          <w:sz w:val="20"/>
          <w:szCs w:val="20"/>
        </w:rPr>
        <w:t xml:space="preserve"> Due to the online nature of the course, students will be expected to engage the course lectures in order to stay current with the corresponding exams. Students that miss either of the first 2 exams will be dropped. There will generally be 2 exams every week, and completion of the exams will also be how your attendance will be evaluated as present or absent. Submission of the class paper will also constitute attendance during finals week. Students do not earn points for attendance.</w:t>
      </w:r>
    </w:p>
    <w:p w14:paraId="12494D61"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Conduct Policy:</w:t>
      </w:r>
      <w:r w:rsidRPr="00FA6932">
        <w:rPr>
          <w:rFonts w:asciiTheme="minorHAnsi" w:hAnsiTheme="minorHAnsi" w:cstheme="minorHAnsi"/>
          <w:sz w:val="20"/>
          <w:szCs w:val="20"/>
        </w:rPr>
        <w:t xml:space="preserve"> Students are expected to demonstrate respect for the instructor, the course content, and themselves. Online/e-mail interaction must be conducted in a polite and professional manner.</w:t>
      </w:r>
    </w:p>
    <w:p w14:paraId="212A38F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6BD71997"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TEXTBOOK</w:t>
      </w:r>
      <w:r w:rsidRPr="00FA6932">
        <w:rPr>
          <w:rFonts w:asciiTheme="minorHAnsi" w:hAnsiTheme="minorHAnsi" w:cstheme="minorHAnsi"/>
          <w:sz w:val="20"/>
          <w:szCs w:val="20"/>
        </w:rPr>
        <w:t xml:space="preserve">: </w:t>
      </w:r>
      <w:r w:rsidRPr="00FA6932">
        <w:rPr>
          <w:rStyle w:val="Emphasis"/>
          <w:rFonts w:asciiTheme="minorHAnsi" w:hAnsiTheme="minorHAnsi" w:cstheme="minorHAnsi"/>
          <w:sz w:val="20"/>
          <w:szCs w:val="20"/>
        </w:rPr>
        <w:t>Exploring Art: A Global Thematic Approach 5E</w:t>
      </w:r>
      <w:r w:rsidRPr="00FA6932">
        <w:rPr>
          <w:rFonts w:asciiTheme="minorHAnsi" w:hAnsiTheme="minorHAnsi" w:cstheme="minorHAnsi"/>
          <w:sz w:val="20"/>
          <w:szCs w:val="20"/>
        </w:rPr>
        <w:t xml:space="preserve"> (Lazzari and Schlesier). You only need the book.</w:t>
      </w:r>
    </w:p>
    <w:p w14:paraId="35FD9DD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Students are required to use the 5th edition. No exceptions</w:t>
      </w:r>
      <w:r w:rsidRPr="00FA6932">
        <w:rPr>
          <w:rFonts w:asciiTheme="minorHAnsi" w:hAnsiTheme="minorHAnsi" w:cstheme="minorHAnsi"/>
          <w:sz w:val="20"/>
          <w:szCs w:val="20"/>
        </w:rPr>
        <w:t>.</w:t>
      </w:r>
    </w:p>
    <w:p w14:paraId="5D9DB8E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ISBN-13:  978-1285858166</w:t>
      </w:r>
    </w:p>
    <w:p w14:paraId="06CAF6F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ISBN-10:  1285858166</w:t>
      </w:r>
    </w:p>
    <w:p w14:paraId="3371506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Affordable options for the textbook: </w:t>
      </w:r>
      <w:hyperlink r:id="rId6" w:history="1">
        <w:r w:rsidRPr="00FA6932">
          <w:rPr>
            <w:rStyle w:val="Hyperlink"/>
            <w:rFonts w:asciiTheme="minorHAnsi" w:hAnsiTheme="minorHAnsi" w:cstheme="minorHAnsi"/>
            <w:sz w:val="20"/>
            <w:szCs w:val="20"/>
          </w:rPr>
          <w:t>Amazon</w:t>
        </w:r>
      </w:hyperlink>
      <w:r w:rsidRPr="00FA6932">
        <w:rPr>
          <w:rFonts w:asciiTheme="minorHAnsi" w:hAnsiTheme="minorHAnsi" w:cstheme="minorHAnsi"/>
          <w:sz w:val="20"/>
          <w:szCs w:val="20"/>
        </w:rPr>
        <w:t xml:space="preserve">, </w:t>
      </w:r>
      <w:hyperlink r:id="rId7" w:history="1">
        <w:r w:rsidRPr="00FA6932">
          <w:rPr>
            <w:rStyle w:val="Hyperlink"/>
            <w:rFonts w:asciiTheme="minorHAnsi" w:hAnsiTheme="minorHAnsi" w:cstheme="minorHAnsi"/>
            <w:sz w:val="20"/>
            <w:szCs w:val="20"/>
          </w:rPr>
          <w:t>Chegg</w:t>
        </w:r>
      </w:hyperlink>
      <w:r w:rsidRPr="00FA6932">
        <w:rPr>
          <w:rFonts w:asciiTheme="minorHAnsi" w:hAnsiTheme="minorHAnsi" w:cstheme="minorHAnsi"/>
          <w:sz w:val="20"/>
          <w:szCs w:val="20"/>
        </w:rPr>
        <w:t>. The digital copies are cheapest.</w:t>
      </w:r>
    </w:p>
    <w:p w14:paraId="1D263DC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Lastly, </w:t>
      </w:r>
      <w:r w:rsidRPr="00FA6932">
        <w:rPr>
          <w:rStyle w:val="Strong"/>
          <w:rFonts w:asciiTheme="minorHAnsi" w:hAnsiTheme="minorHAnsi" w:cstheme="minorHAnsi"/>
          <w:sz w:val="20"/>
          <w:szCs w:val="20"/>
        </w:rPr>
        <w:t>the course PowerPoint lectures</w:t>
      </w:r>
      <w:r w:rsidRPr="00FA6932">
        <w:rPr>
          <w:rFonts w:asciiTheme="minorHAnsi" w:hAnsiTheme="minorHAnsi" w:cstheme="minorHAnsi"/>
          <w:sz w:val="20"/>
          <w:szCs w:val="20"/>
        </w:rPr>
        <w:t xml:space="preserve"> are available for your reference here: </w:t>
      </w:r>
      <w:hyperlink r:id="rId8" w:history="1">
        <w:r w:rsidRPr="00FA6932">
          <w:rPr>
            <w:rStyle w:val="Hyperlink"/>
            <w:rFonts w:asciiTheme="minorHAnsi" w:hAnsiTheme="minorHAnsi" w:cstheme="minorHAnsi"/>
            <w:sz w:val="20"/>
            <w:szCs w:val="20"/>
          </w:rPr>
          <w:t>ART 2 LECTURE SLIDES</w:t>
        </w:r>
      </w:hyperlink>
      <w:r w:rsidRPr="00FA6932">
        <w:rPr>
          <w:rFonts w:asciiTheme="minorHAnsi" w:hAnsiTheme="minorHAnsi" w:cstheme="minorHAnsi"/>
          <w:sz w:val="20"/>
          <w:szCs w:val="20"/>
        </w:rPr>
        <w:t>.</w:t>
      </w:r>
    </w:p>
    <w:p w14:paraId="5F1C1A1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4228DD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Grading Policy: </w:t>
      </w:r>
    </w:p>
    <w:p w14:paraId="4CA78F7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class will complete the first 12 chapters of the course textbook.</w:t>
      </w:r>
    </w:p>
    <w:p w14:paraId="5337FB2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may earn up to 220 points for your final grade. </w:t>
      </w:r>
    </w:p>
    <w:p w14:paraId="25AB247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120 points = 6 Short Examinations (20 points each)</w:t>
      </w:r>
    </w:p>
    <w:p w14:paraId="31A1E70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100 points = 1 Art Report (</w:t>
      </w:r>
      <w:hyperlink r:id="rId9" w:history="1">
        <w:r w:rsidRPr="00FA6932">
          <w:rPr>
            <w:rStyle w:val="Hyperlink"/>
            <w:rFonts w:asciiTheme="minorHAnsi" w:hAnsiTheme="minorHAnsi" w:cstheme="minorHAnsi"/>
            <w:sz w:val="20"/>
            <w:szCs w:val="20"/>
          </w:rPr>
          <w:t>Art Report Requirements</w:t>
        </w:r>
      </w:hyperlink>
      <w:r w:rsidRPr="00FA6932">
        <w:rPr>
          <w:rFonts w:asciiTheme="minorHAnsi" w:hAnsiTheme="minorHAnsi" w:cstheme="minorHAnsi"/>
          <w:sz w:val="20"/>
          <w:szCs w:val="20"/>
        </w:rPr>
        <w:t>)</w:t>
      </w:r>
    </w:p>
    <w:p w14:paraId="6ABC5BDE" w14:textId="77777777" w:rsidR="00FA6932" w:rsidRDefault="00FA6932" w:rsidP="00FA6932">
      <w:pPr>
        <w:pStyle w:val="NormalWeb"/>
        <w:rPr>
          <w:rStyle w:val="Strong"/>
          <w:rFonts w:asciiTheme="minorHAnsi" w:hAnsiTheme="minorHAnsi" w:cstheme="minorHAnsi"/>
          <w:sz w:val="20"/>
          <w:szCs w:val="20"/>
        </w:rPr>
      </w:pPr>
    </w:p>
    <w:p w14:paraId="2B27F70B" w14:textId="02A40E11"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240 points TOTAL</w:t>
      </w:r>
    </w:p>
    <w:p w14:paraId="4012F76D" w14:textId="6846E3F5"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Grading Framework:</w:t>
      </w:r>
    </w:p>
    <w:p w14:paraId="32AAF3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A = 220-198 points</w:t>
      </w:r>
    </w:p>
    <w:p w14:paraId="63522C7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lastRenderedPageBreak/>
        <w:t>B = 197-176 points</w:t>
      </w:r>
    </w:p>
    <w:p w14:paraId="62802F5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 = 175-154 points</w:t>
      </w:r>
    </w:p>
    <w:p w14:paraId="6AA5D8BA"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D = 153-132 points</w:t>
      </w:r>
    </w:p>
    <w:p w14:paraId="77783E85"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B03642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It is the student’s responsibility to track his or her grade. </w:t>
      </w:r>
      <w:r w:rsidRPr="00FA6932">
        <w:rPr>
          <w:rFonts w:asciiTheme="minorHAnsi" w:hAnsiTheme="minorHAnsi" w:cstheme="minorHAnsi"/>
          <w:sz w:val="20"/>
          <w:szCs w:val="20"/>
          <w:u w:val="single"/>
        </w:rPr>
        <w:t>Do not</w:t>
      </w:r>
      <w:r w:rsidRPr="00FA6932">
        <w:rPr>
          <w:rFonts w:asciiTheme="minorHAnsi" w:hAnsiTheme="minorHAnsi" w:cstheme="minorHAnsi"/>
          <w:sz w:val="20"/>
          <w:szCs w:val="20"/>
        </w:rPr>
        <w:t xml:space="preserve"> ask the instructor what your grade is. Grades can be calculated by keeping track of your point totals and dividing the points you have earned by the total number of points available at a given point of the semester.</w:t>
      </w:r>
    </w:p>
    <w:p w14:paraId="2C27404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For convenience, you can keep track of your grade below:</w:t>
      </w:r>
    </w:p>
    <w:p w14:paraId="78D8EE0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1: __ / 20</w:t>
      </w:r>
    </w:p>
    <w:p w14:paraId="352F87E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2: __ / 20</w:t>
      </w:r>
    </w:p>
    <w:p w14:paraId="7B7CDC1D"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3: __ / 20</w:t>
      </w:r>
    </w:p>
    <w:p w14:paraId="00153DC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4: __ / 20</w:t>
      </w:r>
    </w:p>
    <w:p w14:paraId="49EF848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5: __ / 20</w:t>
      </w:r>
    </w:p>
    <w:p w14:paraId="04BB562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6: __ / 20   |  Total ___  / 120</w:t>
      </w:r>
    </w:p>
    <w:p w14:paraId="21E5F9D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Art Report: __  / 100</w:t>
      </w:r>
    </w:p>
    <w:p w14:paraId="0EAF038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Total Points Earned:  </w:t>
      </w:r>
      <w:r w:rsidRPr="00FA6932">
        <w:rPr>
          <w:rFonts w:asciiTheme="minorHAnsi" w:hAnsiTheme="minorHAnsi" w:cstheme="minorHAnsi"/>
          <w:sz w:val="20"/>
          <w:szCs w:val="20"/>
        </w:rPr>
        <w:softHyphen/>
      </w:r>
      <w:r w:rsidRPr="00FA6932">
        <w:rPr>
          <w:rFonts w:asciiTheme="minorHAnsi" w:hAnsiTheme="minorHAnsi" w:cstheme="minorHAnsi"/>
          <w:sz w:val="20"/>
          <w:szCs w:val="20"/>
        </w:rPr>
        <w:softHyphen/>
        <w:t>___  / 220</w:t>
      </w:r>
    </w:p>
    <w:p w14:paraId="6B280C8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A750B0D"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Quiz Characteristics and Conditions</w:t>
      </w:r>
      <w:r w:rsidRPr="00FA6932">
        <w:rPr>
          <w:rFonts w:asciiTheme="minorHAnsi" w:hAnsiTheme="minorHAnsi" w:cstheme="minorHAnsi"/>
          <w:sz w:val="20"/>
          <w:szCs w:val="20"/>
        </w:rPr>
        <w:t>:</w:t>
      </w:r>
    </w:p>
    <w:p w14:paraId="7735EF8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Quizzes are given with specific start and end times. If you miss a scheduled quiz, then you receive ZERO points.</w:t>
      </w:r>
    </w:p>
    <w:p w14:paraId="6B32E6F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quizzes feature slides with multiple choice questions on the content of two chapters at a time, from both lecture and textbook info.</w:t>
      </w:r>
    </w:p>
    <w:p w14:paraId="1AD41C6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will sign into Canvas and take the quizzes there, according to the Quiz Schedule below. Each quiz is timed and will take 10 minutes to complete, 1 minute per question. With proper preparation, 1 minute is a sufficient amount of time to identify the correct answer to a short question. After the 10th minute, the quiz will close, and your score will be recorded in the course grading center.</w:t>
      </w:r>
    </w:p>
    <w:p w14:paraId="5652609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may use your book, notes, lecture slides, and/or the Internet to help you while you take a quiz.</w:t>
      </w:r>
    </w:p>
    <w:p w14:paraId="314FDA5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Due to the generous window of time quizzes are open, there will be no make-up opportunities if you miss a quiz (except in the case of very strong illness or surgery, which requires a note from a doctor that specifies the time and degree to which you were incapacitated). The instructor reserves the right to refuse make-up quizzes for all other student reasons. If you miss a quiz deadline, you will get a zero score on that quiz. No exceptions.</w:t>
      </w:r>
    </w:p>
    <w:p w14:paraId="5F782DD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lastRenderedPageBreak/>
        <w:t>Moreover, part of taking an online class is having the tools to take the class. It assumes you have access to a reliable computer and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computer with a reliable Internet connection. All requests to re-take or make-up a quiz will be denied.</w:t>
      </w:r>
    </w:p>
    <w:p w14:paraId="20849D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AAB65BE"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QUIZ SCHEDULE</w:t>
      </w:r>
      <w:r w:rsidRPr="00FA6932">
        <w:rPr>
          <w:rFonts w:asciiTheme="minorHAnsi" w:hAnsiTheme="minorHAnsi" w:cstheme="minorHAnsi"/>
          <w:sz w:val="20"/>
          <w:szCs w:val="20"/>
        </w:rPr>
        <w:t>: Each quiz will open at 8am and close at 11:59pm.  </w:t>
      </w:r>
    </w:p>
    <w:p w14:paraId="3C6AD8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1 (Chapters 1 and 2, 5 questions from each chapter, each question is worth 2 points): Thursday, June 11</w:t>
      </w:r>
    </w:p>
    <w:p w14:paraId="6A10F10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2 (Chapters 3 and 4, 5 questions from each chapter, each question is worth 2 points): Tuesday, June 16</w:t>
      </w:r>
    </w:p>
    <w:p w14:paraId="26FCBB0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3 (Chapters 5 and 6, 5 questions from each chapter, each question is worth 2 points): Thursday, June 18</w:t>
      </w:r>
    </w:p>
    <w:p w14:paraId="48A072B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Quiz 4 (Chapters 7 and 8, 5 questions from each chapter, each question is worth 2 points): Tuesday, June 23 </w:t>
      </w:r>
    </w:p>
    <w:p w14:paraId="4E5E52B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5 (Chapters 9 and 10, 5 questions from each chapter, each question is worth 2 points): Thursday, June 25</w:t>
      </w:r>
    </w:p>
    <w:p w14:paraId="1397133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6 (Chapters 11 and 12, 5 questions from each chapter, each question is worth 2 points): Tuesday, June 30</w:t>
      </w:r>
    </w:p>
    <w:p w14:paraId="25C8E053"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w:t>
      </w:r>
    </w:p>
    <w:p w14:paraId="2652A499"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Art 2 Term Paper</w:t>
      </w:r>
      <w:r w:rsidRPr="00FA6932">
        <w:rPr>
          <w:rFonts w:asciiTheme="minorHAnsi" w:hAnsiTheme="minorHAnsi" w:cstheme="minorHAnsi"/>
          <w:sz w:val="20"/>
          <w:szCs w:val="20"/>
        </w:rPr>
        <w:t>:</w:t>
      </w:r>
    </w:p>
    <w:p w14:paraId="4B81504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A paper guidelines document is available here: </w:t>
      </w:r>
      <w:hyperlink r:id="rId10" w:history="1">
        <w:r w:rsidRPr="00FA6932">
          <w:rPr>
            <w:rStyle w:val="Hyperlink"/>
            <w:rFonts w:asciiTheme="minorHAnsi" w:hAnsiTheme="minorHAnsi" w:cstheme="minorHAnsi"/>
            <w:sz w:val="20"/>
            <w:szCs w:val="20"/>
          </w:rPr>
          <w:t>Art Report Requirements</w:t>
        </w:r>
      </w:hyperlink>
      <w:r w:rsidRPr="00FA6932">
        <w:rPr>
          <w:rFonts w:asciiTheme="minorHAnsi" w:hAnsiTheme="minorHAnsi" w:cstheme="minorHAnsi"/>
          <w:sz w:val="20"/>
          <w:szCs w:val="20"/>
        </w:rPr>
        <w:t xml:space="preserve">. </w:t>
      </w:r>
    </w:p>
    <w:p w14:paraId="3AF0C32D"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Students must abide by the rules therein.</w:t>
      </w:r>
    </w:p>
    <w:p w14:paraId="417C6EF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Plagiarism will NOT be tolerated and will result in a failing grade and expulsion from the class.</w:t>
      </w:r>
    </w:p>
    <w:p w14:paraId="5DB9B67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paper must be submitted by e-mail as a Word or PDF attachment.</w:t>
      </w:r>
    </w:p>
    <w:p w14:paraId="389B0BE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Send the paper to: </w:t>
      </w:r>
      <w:hyperlink r:id="rId11" w:history="1">
        <w:r w:rsidRPr="00FA6932">
          <w:rPr>
            <w:rStyle w:val="Hyperlink"/>
            <w:rFonts w:asciiTheme="minorHAnsi" w:hAnsiTheme="minorHAnsi" w:cstheme="minorHAnsi"/>
            <w:sz w:val="20"/>
            <w:szCs w:val="20"/>
          </w:rPr>
          <w:t>theodore.lyons@reedleycollege.edu</w:t>
        </w:r>
      </w:hyperlink>
    </w:p>
    <w:p w14:paraId="2F23F6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Paper Submission Deadline:</w:t>
      </w:r>
    </w:p>
    <w:p w14:paraId="11C4DEC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OPENS: June 29 at 8:00am. CLOSES: July 1, 11:59pm.</w:t>
      </w:r>
    </w:p>
    <w:p w14:paraId="48A35BB9"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w:t>
      </w:r>
    </w:p>
    <w:p w14:paraId="3E02A378"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DROP DEADLINE:  TBA</w:t>
      </w:r>
    </w:p>
    <w:p w14:paraId="06461594"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FINAL EXAMINATION: See schedule above. It will be Exam #6, worth the same amount of points as the other exams. </w:t>
      </w:r>
    </w:p>
    <w:p w14:paraId="49B6803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961B9AF"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lastRenderedPageBreak/>
        <w:t>TOPICAL OUTLINE</w:t>
      </w:r>
      <w:r w:rsidRPr="00FA6932">
        <w:rPr>
          <w:rFonts w:asciiTheme="minorHAnsi" w:hAnsiTheme="minorHAnsi" w:cstheme="minorHAnsi"/>
          <w:sz w:val="20"/>
          <w:szCs w:val="20"/>
        </w:rPr>
        <w:t>:</w:t>
      </w:r>
    </w:p>
    <w:p w14:paraId="351D6A8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Part I: INTRODUCTION TO ART</w:t>
      </w:r>
    </w:p>
    <w:p w14:paraId="448BC17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 Art and Art Making. Definition(s) of Art. Art within Visual Culture. About Artists.</w:t>
      </w:r>
    </w:p>
    <w:p w14:paraId="408A9E1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2. The Language of Art and Architecture. Formal Elements. Principles of Composition. Structural Systems.</w:t>
      </w:r>
    </w:p>
    <w:p w14:paraId="20DFD5B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3. Media. The Importance of Materials. 2D Media. Methods and Media in 3D Art. Technology-Based Media.</w:t>
      </w:r>
    </w:p>
    <w:p w14:paraId="46167C8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4. Deriving Meaning. Formal Analysis. Content Analysis. Historical Context. Surroundings. Writings on Art.</w:t>
      </w:r>
    </w:p>
    <w:p w14:paraId="67B4704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04546B1"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Part II: WHY DO WE MAKE ART? </w:t>
      </w:r>
    </w:p>
    <w:p w14:paraId="4CB5AC6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1</w:t>
      </w:r>
      <w:r w:rsidRPr="00FA6932">
        <w:rPr>
          <w:rFonts w:asciiTheme="minorHAnsi" w:hAnsiTheme="minorHAnsi" w:cstheme="minorHAnsi"/>
          <w:sz w:val="20"/>
          <w:szCs w:val="20"/>
        </w:rPr>
        <w:t>. Survival and Beyond.</w:t>
      </w:r>
    </w:p>
    <w:p w14:paraId="70A486F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5. Food and Shelter. Timeline. Food Supply. Storage. Glorification of Food. The Act of Eating.</w:t>
      </w:r>
    </w:p>
    <w:p w14:paraId="72D9D85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6. Reproduction and Sexuality. Promise of Fertility. Primordial and Human Couples. Lovemaking. Western</w:t>
      </w:r>
    </w:p>
    <w:p w14:paraId="2A4D672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Culture. The Gaze. Politics. Abstraction. Pregnancy, Childbirth, Progeny.</w:t>
      </w:r>
    </w:p>
    <w:p w14:paraId="767A61F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2</w:t>
      </w:r>
      <w:r w:rsidRPr="00FA6932">
        <w:rPr>
          <w:rFonts w:asciiTheme="minorHAnsi" w:hAnsiTheme="minorHAnsi" w:cstheme="minorHAnsi"/>
          <w:sz w:val="20"/>
          <w:szCs w:val="20"/>
        </w:rPr>
        <w:t>. Religion.</w:t>
      </w:r>
    </w:p>
    <w:p w14:paraId="500DEA3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7. Deities and Places of Worship. Deities. Places of Worship. Images. Holy Beings. Human Response.</w:t>
      </w:r>
    </w:p>
    <w:p w14:paraId="40DE5E8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8. Mortality and Immortality. Tombs. Cemeteries. Mausoleums. Reliquaries.</w:t>
      </w:r>
    </w:p>
    <w:p w14:paraId="2DDC224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11BC61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3</w:t>
      </w:r>
      <w:r w:rsidRPr="00FA6932">
        <w:rPr>
          <w:rFonts w:asciiTheme="minorHAnsi" w:hAnsiTheme="minorHAnsi" w:cstheme="minorHAnsi"/>
          <w:sz w:val="20"/>
          <w:szCs w:val="20"/>
        </w:rPr>
        <w:t>. The State.</w:t>
      </w:r>
    </w:p>
    <w:p w14:paraId="518B91C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9. Power, Politics, Glory. The Glory of the Ruler. Power of the State. Warriors, Weapons. Scenes. Memorials.</w:t>
      </w:r>
    </w:p>
    <w:p w14:paraId="7264AA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10. Social Protest/Affirmation. Protests Against Military Action. Fighting for the Oppressed. The Status Quo.</w:t>
      </w:r>
    </w:p>
    <w:p w14:paraId="1AF3B25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20CABC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4</w:t>
      </w:r>
      <w:r w:rsidRPr="00FA6932">
        <w:rPr>
          <w:rFonts w:asciiTheme="minorHAnsi" w:hAnsiTheme="minorHAnsi" w:cstheme="minorHAnsi"/>
          <w:sz w:val="20"/>
          <w:szCs w:val="20"/>
        </w:rPr>
        <w:t>. Self and Society.</w:t>
      </w:r>
    </w:p>
    <w:p w14:paraId="0B26259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11. Mind and Body. Portraiture. The Limits of the Self. Sickness and Death.</w:t>
      </w:r>
    </w:p>
    <w:p w14:paraId="517DE6B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The Psychological Dimension of Art.</w:t>
      </w:r>
    </w:p>
    <w:p w14:paraId="66086C1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12. Race, Gender, Clan, and Class.</w:t>
      </w:r>
    </w:p>
    <w:p w14:paraId="791E1D1E" w14:textId="1D3BECBF" w:rsidR="00274FF6"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sectPr w:rsidR="00274FF6" w:rsidRPr="00FA6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008B2"/>
    <w:multiLevelType w:val="multilevel"/>
    <w:tmpl w:val="8D6E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25B44"/>
    <w:multiLevelType w:val="multilevel"/>
    <w:tmpl w:val="2656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13"/>
    <w:rsid w:val="00002705"/>
    <w:rsid w:val="00021417"/>
    <w:rsid w:val="00065ADC"/>
    <w:rsid w:val="0008682B"/>
    <w:rsid w:val="000B7D26"/>
    <w:rsid w:val="00184394"/>
    <w:rsid w:val="00274FF6"/>
    <w:rsid w:val="002B12B0"/>
    <w:rsid w:val="004462E8"/>
    <w:rsid w:val="004C7751"/>
    <w:rsid w:val="004F5AB9"/>
    <w:rsid w:val="004F7E13"/>
    <w:rsid w:val="00514CD1"/>
    <w:rsid w:val="005437CD"/>
    <w:rsid w:val="00580E06"/>
    <w:rsid w:val="005E484B"/>
    <w:rsid w:val="006B4176"/>
    <w:rsid w:val="006E14DB"/>
    <w:rsid w:val="0070023A"/>
    <w:rsid w:val="007146BC"/>
    <w:rsid w:val="007614DB"/>
    <w:rsid w:val="00810BD1"/>
    <w:rsid w:val="00914528"/>
    <w:rsid w:val="00930CDE"/>
    <w:rsid w:val="00931FA7"/>
    <w:rsid w:val="009533A3"/>
    <w:rsid w:val="00996EEF"/>
    <w:rsid w:val="009B6885"/>
    <w:rsid w:val="00A36983"/>
    <w:rsid w:val="00A773BE"/>
    <w:rsid w:val="00AA00E5"/>
    <w:rsid w:val="00AB69D5"/>
    <w:rsid w:val="00B519BE"/>
    <w:rsid w:val="00BB38FF"/>
    <w:rsid w:val="00BD5F41"/>
    <w:rsid w:val="00BE52DA"/>
    <w:rsid w:val="00C32A7E"/>
    <w:rsid w:val="00C92E06"/>
    <w:rsid w:val="00CA1800"/>
    <w:rsid w:val="00DA78CA"/>
    <w:rsid w:val="00DD7C37"/>
    <w:rsid w:val="00DE30EA"/>
    <w:rsid w:val="00E255D6"/>
    <w:rsid w:val="00E431EB"/>
    <w:rsid w:val="00E43C29"/>
    <w:rsid w:val="00EC3125"/>
    <w:rsid w:val="00F47E7A"/>
    <w:rsid w:val="00F6543C"/>
    <w:rsid w:val="00F913BA"/>
    <w:rsid w:val="00F95B1F"/>
    <w:rsid w:val="00FA2643"/>
    <w:rsid w:val="00FA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6B7B"/>
  <w15:chartTrackingRefBased/>
  <w15:docId w15:val="{771F14BD-59A7-47B0-8A1A-5C102205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D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D26"/>
    <w:rPr>
      <w:b/>
      <w:bCs/>
    </w:rPr>
  </w:style>
  <w:style w:type="character" w:styleId="Emphasis">
    <w:name w:val="Emphasis"/>
    <w:basedOn w:val="DefaultParagraphFont"/>
    <w:uiPriority w:val="20"/>
    <w:qFormat/>
    <w:rsid w:val="000B7D26"/>
    <w:rPr>
      <w:i/>
      <w:iCs/>
    </w:rPr>
  </w:style>
  <w:style w:type="character" w:styleId="Hyperlink">
    <w:name w:val="Hyperlink"/>
    <w:basedOn w:val="DefaultParagraphFont"/>
    <w:uiPriority w:val="99"/>
    <w:unhideWhenUsed/>
    <w:rsid w:val="000B7D26"/>
    <w:rPr>
      <w:color w:val="0000FF"/>
      <w:u w:val="single"/>
    </w:rPr>
  </w:style>
  <w:style w:type="character" w:customStyle="1" w:styleId="screenreader-only">
    <w:name w:val="screenreader-only"/>
    <w:basedOn w:val="DefaultParagraphFont"/>
    <w:rsid w:val="000B7D26"/>
  </w:style>
  <w:style w:type="paragraph" w:styleId="NoSpacing">
    <w:name w:val="No Spacing"/>
    <w:uiPriority w:val="1"/>
    <w:qFormat/>
    <w:rsid w:val="00BD5F41"/>
    <w:pPr>
      <w:spacing w:after="0" w:line="240" w:lineRule="auto"/>
    </w:pPr>
  </w:style>
  <w:style w:type="character" w:styleId="UnresolvedMention">
    <w:name w:val="Unresolved Mention"/>
    <w:basedOn w:val="DefaultParagraphFont"/>
    <w:uiPriority w:val="99"/>
    <w:semiHidden/>
    <w:unhideWhenUsed/>
    <w:rsid w:val="0002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70753">
      <w:bodyDiv w:val="1"/>
      <w:marLeft w:val="0"/>
      <w:marRight w:val="0"/>
      <w:marTop w:val="0"/>
      <w:marBottom w:val="0"/>
      <w:divBdr>
        <w:top w:val="none" w:sz="0" w:space="0" w:color="auto"/>
        <w:left w:val="none" w:sz="0" w:space="0" w:color="auto"/>
        <w:bottom w:val="none" w:sz="0" w:space="0" w:color="auto"/>
        <w:right w:val="none" w:sz="0" w:space="0" w:color="auto"/>
      </w:divBdr>
      <w:divsChild>
        <w:div w:id="898858982">
          <w:marLeft w:val="0"/>
          <w:marRight w:val="0"/>
          <w:marTop w:val="0"/>
          <w:marBottom w:val="150"/>
          <w:divBdr>
            <w:top w:val="none" w:sz="0" w:space="0" w:color="auto"/>
            <w:left w:val="none" w:sz="0" w:space="0" w:color="auto"/>
            <w:bottom w:val="none" w:sz="0" w:space="0" w:color="auto"/>
            <w:right w:val="none" w:sz="0" w:space="0" w:color="auto"/>
          </w:divBdr>
        </w:div>
      </w:divsChild>
    </w:div>
    <w:div w:id="17106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gIn3a2JMuHBCZCECjQJptFTb1cWrBkV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gg.com/textbooks/exploring-art-5th-edition-9781285858166-12858581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Exploring-Art-Thematic-Approach-MindTap-ebook-dp-B00QXKGGEU/dp/B00QXKGGEU/ref=mt_kindle?_encoding=UTF8&amp;me=&amp;qid=" TargetMode="External"/><Relationship Id="rId11" Type="http://schemas.openxmlformats.org/officeDocument/2006/relationships/hyperlink" Target="mailto:theodore.lyons@reedleycollege.edu" TargetMode="External"/><Relationship Id="rId5" Type="http://schemas.openxmlformats.org/officeDocument/2006/relationships/hyperlink" Target="mailto:theodore.lyons@reedleycollege.edu" TargetMode="External"/><Relationship Id="rId10" Type="http://schemas.openxmlformats.org/officeDocument/2006/relationships/hyperlink" Target="https://drive.google.com/file/d/1IG1AsLdWcuq-7-6LYHtas_gEDI8DmQmB/view?usp=sharing" TargetMode="External"/><Relationship Id="rId4" Type="http://schemas.openxmlformats.org/officeDocument/2006/relationships/webSettings" Target="webSettings.xml"/><Relationship Id="rId9" Type="http://schemas.openxmlformats.org/officeDocument/2006/relationships/hyperlink" Target="https://drive.google.com/file/d/1IG1AsLdWcuq-7-6LYHtas_gEDI8DmQmB/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51</cp:revision>
  <dcterms:created xsi:type="dcterms:W3CDTF">2020-04-14T20:16:00Z</dcterms:created>
  <dcterms:modified xsi:type="dcterms:W3CDTF">2020-06-10T03:35:00Z</dcterms:modified>
</cp:coreProperties>
</file>