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proofErr w:type="gramStart"/>
      <w:r w:rsidR="00F62F60">
        <w:rPr>
          <w:rFonts w:ascii="Times New Roman" w:hAnsi="Times New Roman"/>
          <w:b/>
          <w:sz w:val="22"/>
        </w:rPr>
        <w:t>Spring</w:t>
      </w:r>
      <w:proofErr w:type="gramEnd"/>
      <w:r w:rsidR="00F62F60">
        <w:rPr>
          <w:rFonts w:ascii="Times New Roman" w:hAnsi="Times New Roman"/>
          <w:b/>
          <w:sz w:val="22"/>
        </w:rPr>
        <w:t xml:space="preserve"> 2017</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r w:rsidR="00F62F60">
        <w:rPr>
          <w:rFonts w:ascii="Times New Roman" w:hAnsi="Times New Roman"/>
          <w:sz w:val="22"/>
        </w:rPr>
        <w:t xml:space="preserve"> Office Hours: Monday 10; Tuesday 10; Friday virtual (email)</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w:t>
      </w:r>
      <w:proofErr w:type="spellStart"/>
      <w:r>
        <w:rPr>
          <w:rFonts w:ascii="Times New Roman" w:hAnsi="Times New Roman"/>
          <w:sz w:val="22"/>
        </w:rPr>
        <w:t>Chiappetta</w:t>
      </w:r>
      <w:proofErr w:type="spellEnd"/>
      <w:r>
        <w:rPr>
          <w:rFonts w:ascii="Times New Roman" w:hAnsi="Times New Roman"/>
          <w:sz w:val="22"/>
        </w:rPr>
        <w:t xml:space="preserve">,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w:t>
      </w:r>
      <w:r>
        <w:rPr>
          <w:rFonts w:ascii="Times New Roman" w:hAnsi="Times New Roman"/>
          <w:sz w:val="22"/>
        </w:rPr>
        <w:lastRenderedPageBreak/>
        <w:t xml:space="preserve">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w:t>
      </w:r>
      <w:r>
        <w:rPr>
          <w:rFonts w:ascii="Times New Roman" w:hAnsi="Times New Roman"/>
          <w:sz w:val="22"/>
        </w:rPr>
        <w:t>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6087F"/>
    <w:rsid w:val="00074B6D"/>
    <w:rsid w:val="00093459"/>
    <w:rsid w:val="000A0B3E"/>
    <w:rsid w:val="000B63D8"/>
    <w:rsid w:val="000C5601"/>
    <w:rsid w:val="00114CAC"/>
    <w:rsid w:val="002206EE"/>
    <w:rsid w:val="002A42B2"/>
    <w:rsid w:val="002B68E6"/>
    <w:rsid w:val="00315E50"/>
    <w:rsid w:val="00360D49"/>
    <w:rsid w:val="003876DB"/>
    <w:rsid w:val="00397C47"/>
    <w:rsid w:val="003F64E7"/>
    <w:rsid w:val="00447F27"/>
    <w:rsid w:val="00474800"/>
    <w:rsid w:val="00476388"/>
    <w:rsid w:val="00483D47"/>
    <w:rsid w:val="0054679A"/>
    <w:rsid w:val="00560476"/>
    <w:rsid w:val="0056476F"/>
    <w:rsid w:val="00565E95"/>
    <w:rsid w:val="00577DE7"/>
    <w:rsid w:val="00607AD5"/>
    <w:rsid w:val="00632806"/>
    <w:rsid w:val="00676B73"/>
    <w:rsid w:val="006963E9"/>
    <w:rsid w:val="00782DD4"/>
    <w:rsid w:val="007D07C6"/>
    <w:rsid w:val="007E2B3C"/>
    <w:rsid w:val="007E5148"/>
    <w:rsid w:val="008659B0"/>
    <w:rsid w:val="0089649A"/>
    <w:rsid w:val="00923E29"/>
    <w:rsid w:val="00954739"/>
    <w:rsid w:val="009610F1"/>
    <w:rsid w:val="00A12760"/>
    <w:rsid w:val="00A50CE2"/>
    <w:rsid w:val="00A65B9F"/>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C334A"/>
    <w:rsid w:val="00EF22DA"/>
    <w:rsid w:val="00F03251"/>
    <w:rsid w:val="00F05147"/>
    <w:rsid w:val="00F13C86"/>
    <w:rsid w:val="00F62F60"/>
    <w:rsid w:val="00F8431F"/>
    <w:rsid w:val="00F95EA7"/>
    <w:rsid w:val="00F97B11"/>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46EF3-5DDC-4A9F-ABE5-01F2C51D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2015-08-13T13:35:00Z</cp:lastPrinted>
  <dcterms:created xsi:type="dcterms:W3CDTF">2017-02-21T21:57:00Z</dcterms:created>
  <dcterms:modified xsi:type="dcterms:W3CDTF">2017-02-21T21:57:00Z</dcterms:modified>
</cp:coreProperties>
</file>