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Minutes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Present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Franchesca Amezola, Ashley Calhoun, Lore Dobusch, Cynthia Elliott, Toni Ensz, John Fitzer, Richardson Fleuridor, Nancy Frampton, Pam Gilmore, Doug Gong, Nancy Marsh, David Richey, Melanie </w:t>
      </w:r>
      <w:proofErr w:type="spellStart"/>
      <w:r>
        <w:rPr>
          <w:rFonts w:cs="Calibri"/>
          <w:bCs/>
          <w:sz w:val="18"/>
          <w:szCs w:val="18"/>
        </w:rPr>
        <w:t>Sanwo</w:t>
      </w:r>
      <w:proofErr w:type="spellEnd"/>
      <w:r>
        <w:rPr>
          <w:rFonts w:cs="Calibri"/>
          <w:bCs/>
          <w:sz w:val="18"/>
          <w:szCs w:val="18"/>
        </w:rPr>
        <w:t>, Michael van Wyhe, Sheryl Young-Manning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Absent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David Clark, Michael Cole, Kate Fourchy, Kelly Fowler, Kent Kinney, ASG Representative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Visitors</w:t>
      </w:r>
    </w:p>
    <w:p w:rsidR="00B62240" w:rsidRPr="003D3734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Kristine Hodges, Deborah Ikeda, Steven Marcial</w:t>
      </w:r>
    </w:p>
    <w:p w:rsidR="00F72F6D" w:rsidRPr="00D576BC" w:rsidRDefault="00F72F6D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Default="003D7BD8" w:rsidP="00B62240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Meeting called to order at 3:08 p.m.</w:t>
      </w:r>
    </w:p>
    <w:p w:rsidR="006F26BD" w:rsidRPr="00D576BC" w:rsidRDefault="006F26BD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Default="006F26BD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Roll sheet was circulated.</w:t>
      </w:r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>
        <w:rPr>
          <w:rFonts w:asciiTheme="minorHAnsi" w:hAnsiTheme="minorHAnsi" w:cstheme="minorHAnsi"/>
          <w:b/>
          <w:bCs/>
          <w:sz w:val="18"/>
          <w:szCs w:val="18"/>
        </w:rPr>
        <w:t>March 7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Default="006F26BD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  <w:r w:rsidRPr="00B62240">
        <w:rPr>
          <w:rFonts w:asciiTheme="minorHAnsi" w:hAnsiTheme="minorHAnsi" w:cstheme="minorHAnsi"/>
          <w:bCs/>
          <w:sz w:val="18"/>
          <w:szCs w:val="18"/>
        </w:rPr>
        <w:tab/>
        <w:t>Minutes approved as submitted.</w:t>
      </w:r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D576BC" w:rsidRDefault="003D7BD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B62240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FF3B53" w:rsidRPr="00FF3B53" w:rsidRDefault="00FF3B53" w:rsidP="00B6224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F3B53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COMPOSITION, LITERATURE AND COMMUNICATION DEPARTMENT</w:t>
      </w:r>
    </w:p>
    <w:p w:rsidR="00FF3B53" w:rsidRPr="00D576BC" w:rsidRDefault="00FF3B53" w:rsidP="00B62240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Course Modifications effective fall 2013</w:t>
      </w:r>
    </w:p>
    <w:p w:rsidR="00FF3B53" w:rsidRPr="00D576BC" w:rsidRDefault="00FF3B53" w:rsidP="00B62240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44A WORLD LITERATURE TO THE RENAISSANCE</w:t>
      </w:r>
    </w:p>
    <w:p w:rsidR="00FF3B53" w:rsidRPr="00D576BC" w:rsidRDefault="00FF3B53" w:rsidP="00B62240">
      <w:pPr>
        <w:pStyle w:val="ListParagraph"/>
        <w:numPr>
          <w:ilvl w:val="1"/>
          <w:numId w:val="18"/>
        </w:numPr>
        <w:tabs>
          <w:tab w:val="left" w:pos="360"/>
          <w:tab w:val="left" w:pos="720"/>
          <w:tab w:val="left" w:pos="1440"/>
        </w:tabs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color w:val="000000"/>
          <w:sz w:val="18"/>
          <w:szCs w:val="18"/>
        </w:rPr>
        <w:t>ENGL 44B WORLD LITERATURE SINCE THE RENAISSANCE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modifications for English 44A and English 44B.</w:t>
      </w:r>
      <w:proofErr w:type="gramEnd"/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A91A2C" w:rsidRDefault="00A91A2C" w:rsidP="00B6224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FINE AND PERFORMING ARTS FAMILIES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B62240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 w:rsidRPr="00B62240">
        <w:rPr>
          <w:rFonts w:asciiTheme="minorHAnsi" w:eastAsia="Times New Roman" w:hAnsiTheme="minorHAnsi" w:cstheme="minorHAnsi"/>
          <w:color w:val="000000"/>
          <w:sz w:val="18"/>
          <w:szCs w:val="18"/>
        </w:rPr>
        <w:t>Approved families.</w:t>
      </w:r>
      <w:proofErr w:type="gramEnd"/>
    </w:p>
    <w:p w:rsidR="00612343" w:rsidRPr="00B62240" w:rsidRDefault="0061234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bookmarkStart w:id="0" w:name="_GoBack"/>
      <w:bookmarkEnd w:id="0"/>
    </w:p>
    <w:p w:rsidR="00181705" w:rsidRPr="00B62240" w:rsidRDefault="00FF3B53" w:rsidP="00B6224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B6224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MUSIC</w:t>
      </w:r>
      <w:r w:rsidR="008F6497" w:rsidRPr="00B62240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Pam Gilmore communicated with Kerry Ybarra, FCC’s Curriculum Chair about the concerns about the music families. 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Committee would like to know if the families should be defined by college only or by district. Doris Griffin will be contacted for clarification.</w:t>
      </w:r>
    </w:p>
    <w:p w:rsidR="00B62240" w:rsidRP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sz w:val="18"/>
          <w:szCs w:val="18"/>
        </w:rPr>
      </w:pPr>
    </w:p>
    <w:p w:rsidR="00181705" w:rsidRDefault="00181705" w:rsidP="00B6224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 xml:space="preserve">HIGH </w:t>
      </w:r>
      <w:r w:rsidRPr="0018170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SCHOOL</w:t>
      </w:r>
      <w:r w:rsidRPr="00D576BC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2+2 </w:t>
      </w:r>
      <w:r w:rsidRPr="00D576BC">
        <w:rPr>
          <w:rFonts w:asciiTheme="minorHAnsi" w:hAnsiTheme="minorHAnsi" w:cstheme="minorHAnsi"/>
          <w:b/>
          <w:sz w:val="18"/>
          <w:szCs w:val="18"/>
        </w:rPr>
        <w:t>COURSE ARTICULATION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ind w:left="360"/>
        <w:rPr>
          <w:rFonts w:asciiTheme="minorHAnsi" w:hAnsiTheme="minorHAnsi" w:cstheme="minorHAnsi"/>
          <w:b/>
          <w:sz w:val="18"/>
          <w:szCs w:val="18"/>
        </w:rPr>
      </w:pPr>
    </w:p>
    <w:p w:rsidR="006C3C02" w:rsidRPr="006C3C02" w:rsidRDefault="006C3C02" w:rsidP="00B62240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6C3C02">
        <w:rPr>
          <w:rFonts w:asciiTheme="minorHAnsi" w:hAnsiTheme="minorHAnsi" w:cstheme="minorHAnsi"/>
          <w:b/>
          <w:sz w:val="18"/>
          <w:szCs w:val="18"/>
        </w:rPr>
        <w:t>2 + 2 PROCESS OF THE CLOVIS CURRICULUM COMMITTEE PROJECT</w:t>
      </w:r>
    </w:p>
    <w:p w:rsidR="006C3C02" w:rsidRDefault="006C3C02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The target college is the college planning for the agreement. 2+2 is specifically handled by the consortium. </w:t>
      </w: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95854" w:rsidRPr="005F69B8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5F69B8">
        <w:rPr>
          <w:rFonts w:asciiTheme="minorHAnsi" w:hAnsiTheme="minorHAnsi" w:cstheme="minorHAnsi"/>
          <w:sz w:val="18"/>
          <w:szCs w:val="18"/>
        </w:rPr>
        <w:tab/>
      </w:r>
      <w:r w:rsidR="005F69B8" w:rsidRPr="005F69B8">
        <w:rPr>
          <w:rFonts w:cs="Calibri"/>
          <w:sz w:val="18"/>
          <w:szCs w:val="18"/>
        </w:rPr>
        <w:t xml:space="preserve">2 + 2 will continue as a process managed by our district consortium for career technical high school courses only.  High </w:t>
      </w:r>
      <w:r w:rsidR="005F69B8" w:rsidRPr="005F69B8">
        <w:rPr>
          <w:rFonts w:cs="Calibri"/>
          <w:sz w:val="18"/>
          <w:szCs w:val="18"/>
        </w:rPr>
        <w:tab/>
        <w:t xml:space="preserve">school articulation is a new idea for academic, pre-collegiate coursework which the consortium’s Lori Morton will handle a </w:t>
      </w:r>
      <w:r w:rsidR="005F69B8" w:rsidRPr="005F69B8">
        <w:rPr>
          <w:rFonts w:cs="Calibri"/>
          <w:sz w:val="18"/>
          <w:szCs w:val="18"/>
        </w:rPr>
        <w:tab/>
        <w:t xml:space="preserve">different way, in a new process, which must be developed and agreed to by the RC Curriculum Committee.  2 + 2 continues </w:t>
      </w:r>
      <w:r w:rsidR="005F69B8" w:rsidRPr="005F69B8">
        <w:rPr>
          <w:rFonts w:cs="Calibri"/>
          <w:sz w:val="18"/>
          <w:szCs w:val="18"/>
        </w:rPr>
        <w:tab/>
        <w:t xml:space="preserve">as it always has. High School Articulation is a new idea the faculty are trying to figure out now.  Ms. Morton will handle </w:t>
      </w:r>
      <w:r w:rsidR="005F69B8" w:rsidRPr="005F69B8">
        <w:rPr>
          <w:rFonts w:cs="Calibri"/>
          <w:sz w:val="18"/>
          <w:szCs w:val="18"/>
        </w:rPr>
        <w:lastRenderedPageBreak/>
        <w:tab/>
        <w:t xml:space="preserve">both processes, but they are different processes for different coursework.  For example, before 2 + 2 coursework can show </w:t>
      </w:r>
      <w:r w:rsidR="005F69B8" w:rsidRPr="005F69B8">
        <w:rPr>
          <w:rFonts w:cs="Calibri"/>
          <w:sz w:val="18"/>
          <w:szCs w:val="18"/>
        </w:rPr>
        <w:tab/>
        <w:t xml:space="preserve">up on the college transcript, the student must complete some college coursework first. For high school articulation, the </w:t>
      </w:r>
      <w:r w:rsidR="005F69B8" w:rsidRPr="005F69B8">
        <w:rPr>
          <w:rFonts w:cs="Calibri"/>
          <w:sz w:val="18"/>
          <w:szCs w:val="18"/>
        </w:rPr>
        <w:tab/>
        <w:t>student simply enrolls in the following college class that the high school articulated class has qualified him or her for.</w:t>
      </w:r>
    </w:p>
    <w:p w:rsidR="00295854" w:rsidRPr="00295854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Debbie Ikeda stated that the assistant to Lori Morton at the Consortium has been appointed as the High School </w:t>
      </w:r>
      <w:r>
        <w:rPr>
          <w:rFonts w:asciiTheme="minorHAnsi" w:hAnsiTheme="minorHAnsi" w:cstheme="minorHAnsi"/>
          <w:sz w:val="18"/>
          <w:szCs w:val="18"/>
        </w:rPr>
        <w:tab/>
        <w:t>Articulation Officer by all three presidents.</w:t>
      </w:r>
    </w:p>
    <w:p w:rsidR="00B62240" w:rsidRDefault="00B62240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5F69B8" w:rsidRDefault="005F69B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Tabled until further information on the High School Articulation Officer is received from the Michael White.</w:t>
      </w:r>
      <w:proofErr w:type="gramEnd"/>
    </w:p>
    <w:p w:rsidR="005F69B8" w:rsidRDefault="005F69B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1606D9" w:rsidRPr="00D576BC" w:rsidRDefault="00A61C48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90876" w:rsidRDefault="00FF3B53" w:rsidP="00B62240">
      <w:p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BUSINESS DEPARTMNET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1.</w:t>
      </w:r>
      <w:r>
        <w:rPr>
          <w:rFonts w:asciiTheme="minorHAnsi" w:hAnsiTheme="minorHAnsi" w:cstheme="minorHAnsi"/>
          <w:b/>
          <w:sz w:val="18"/>
          <w:szCs w:val="18"/>
        </w:rPr>
        <w:tab/>
        <w:t>Course deletions effective fall 2013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a.</w:t>
      </w:r>
      <w:r>
        <w:rPr>
          <w:rFonts w:asciiTheme="minorHAnsi" w:hAnsiTheme="minorHAnsi" w:cstheme="minorHAnsi"/>
          <w:b/>
          <w:sz w:val="18"/>
          <w:szCs w:val="18"/>
        </w:rPr>
        <w:tab/>
        <w:t>Accounting 261 Topics in Accounting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b.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261A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Beginning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#1)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c.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261B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Intermediate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#2)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d.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Accounting 261C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Pro, Advanced (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Quickbooks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#3)</w:t>
      </w:r>
    </w:p>
    <w:p w:rsidR="00FF3B53" w:rsidRDefault="00FF3B53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deletions for Accounting 261, 261A, 261B and 261C.</w:t>
      </w:r>
      <w:proofErr w:type="gramEnd"/>
    </w:p>
    <w:p w:rsidR="00295854" w:rsidRPr="00295854" w:rsidRDefault="00295854" w:rsidP="00B6224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575846" w:rsidRPr="00575846" w:rsidRDefault="00575846" w:rsidP="00B62240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575846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575846" w:rsidRDefault="00575846" w:rsidP="00B62240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Office Technology 1 Computer Basics</w:t>
      </w:r>
    </w:p>
    <w:p w:rsidR="00816A54" w:rsidRPr="00D576BC" w:rsidRDefault="00816A54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7D3342" w:rsidRDefault="00181705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7D3342">
        <w:rPr>
          <w:rFonts w:asciiTheme="minorHAnsi" w:hAnsiTheme="minorHAnsi" w:cstheme="minorHAnsi"/>
          <w:b/>
          <w:sz w:val="18"/>
          <w:szCs w:val="18"/>
        </w:rPr>
        <w:t>COURSE OUTLINE OF RECORD REVISION</w:t>
      </w:r>
    </w:p>
    <w:p w:rsidR="007D3342" w:rsidRDefault="007D3342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Pam Gilmore isn’t sure if this is a two-hearing item for Academic Senate. If it is a two-hearing item then the committee </w:t>
      </w:r>
      <w:r>
        <w:rPr>
          <w:rFonts w:asciiTheme="minorHAnsi" w:hAnsiTheme="minorHAnsi" w:cstheme="minorHAnsi"/>
          <w:sz w:val="18"/>
          <w:szCs w:val="18"/>
        </w:rPr>
        <w:tab/>
        <w:t>needs to approve at this meeting.</w:t>
      </w: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95854" w:rsidRDefault="00295854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Credit Course Outline of Record modifications with revisions.</w:t>
      </w:r>
      <w:proofErr w:type="gramEnd"/>
    </w:p>
    <w:p w:rsidR="00295854" w:rsidRPr="00295854" w:rsidRDefault="00295854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B46CD5" w:rsidRPr="00D576BC" w:rsidRDefault="007D3342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B6224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C700A" w:rsidRDefault="007D3342" w:rsidP="00B62240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295854" w:rsidRDefault="00295854" w:rsidP="00B62240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p w:rsidR="00295854" w:rsidRPr="00295854" w:rsidRDefault="00295854" w:rsidP="00B62240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b w:val="0"/>
          <w:sz w:val="18"/>
          <w:szCs w:val="18"/>
        </w:rPr>
        <w:t>Meeting adjourned at 4:16 p.m.</w:t>
      </w:r>
    </w:p>
    <w:sectPr w:rsidR="00295854" w:rsidRPr="00295854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40" w:rsidRDefault="00B62240" w:rsidP="00195C51">
      <w:r>
        <w:separator/>
      </w:r>
    </w:p>
  </w:endnote>
  <w:endnote w:type="continuationSeparator" w:id="0">
    <w:p w:rsidR="00B62240" w:rsidRDefault="00B62240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40" w:rsidRPr="004F0369" w:rsidRDefault="00B6224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B62240" w:rsidRPr="004F0369" w:rsidRDefault="00B6224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B62240" w:rsidRPr="004F0369" w:rsidRDefault="00B6224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B62240" w:rsidRPr="004F0369" w:rsidRDefault="00B6224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B62240" w:rsidRPr="004F0369" w:rsidRDefault="00B6224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40" w:rsidRDefault="00B62240" w:rsidP="00195C51">
      <w:r>
        <w:separator/>
      </w:r>
    </w:p>
  </w:footnote>
  <w:footnote w:type="continuationSeparator" w:id="0">
    <w:p w:rsidR="00B62240" w:rsidRDefault="00B62240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40" w:rsidRDefault="00B62240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295854">
      <w:rPr>
        <w:rFonts w:asciiTheme="minorHAnsi" w:hAnsiTheme="minorHAnsi"/>
        <w:b/>
        <w:sz w:val="20"/>
        <w:szCs w:val="20"/>
      </w:rPr>
      <w:t>Minutes</w:t>
    </w:r>
  </w:p>
  <w:p w:rsidR="00B62240" w:rsidRPr="003D7BD8" w:rsidRDefault="00B6224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14,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14, 2013</w:t>
    </w:r>
  </w:p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B62240" w:rsidRPr="003D7BD8" w:rsidRDefault="00B6224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6"/>
  </w:num>
  <w:num w:numId="14">
    <w:abstractNumId w:val="11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854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2104"/>
    <w:rsid w:val="005F2363"/>
    <w:rsid w:val="005F2DA6"/>
    <w:rsid w:val="005F3269"/>
    <w:rsid w:val="005F5F18"/>
    <w:rsid w:val="005F63D6"/>
    <w:rsid w:val="005F69B8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2343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1A2C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2240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D12B-3BAC-4417-B0E5-0A81CB9C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5</cp:revision>
  <cp:lastPrinted>2013-03-11T19:14:00Z</cp:lastPrinted>
  <dcterms:created xsi:type="dcterms:W3CDTF">2013-03-18T15:10:00Z</dcterms:created>
  <dcterms:modified xsi:type="dcterms:W3CDTF">2013-04-23T15:21:00Z</dcterms:modified>
</cp:coreProperties>
</file>