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bookmarkStart w:id="0" w:name="_GoBack"/>
      <w:bookmarkEnd w:id="0"/>
      <w:r>
        <w:rPr>
          <w:rFonts w:ascii="inherit" w:eastAsia="Times New Roman" w:hAnsi="inherit" w:cs="Times New Roman"/>
          <w:b/>
          <w:bCs/>
          <w:color w:val="333333"/>
          <w:sz w:val="17"/>
          <w:szCs w:val="17"/>
          <w:u w:val="single"/>
          <w:bdr w:val="none" w:sz="0" w:space="0" w:color="auto" w:frame="1"/>
        </w:rPr>
        <w:t>AR 4021-</w:t>
      </w:r>
      <w:r w:rsidRPr="000932FA">
        <w:rPr>
          <w:rFonts w:ascii="inherit" w:eastAsia="Times New Roman" w:hAnsi="inherit" w:cs="Times New Roman"/>
          <w:b/>
          <w:bCs/>
          <w:color w:val="333333"/>
          <w:sz w:val="17"/>
          <w:szCs w:val="17"/>
          <w:u w:val="single"/>
          <w:bdr w:val="none" w:sz="0" w:space="0" w:color="auto" w:frame="1"/>
        </w:rPr>
        <w:t>Program Review and Discontinuance - Career and Technical Education</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inherit" w:eastAsia="Times New Roman" w:hAnsi="inherit" w:cs="Times New Roman"/>
          <w:color w:val="333333"/>
          <w:sz w:val="17"/>
          <w:szCs w:val="17"/>
        </w:rPr>
        <w:t> </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inherit" w:eastAsia="Times New Roman" w:hAnsi="inherit" w:cs="Times New Roman"/>
          <w:color w:val="333333"/>
          <w:sz w:val="17"/>
          <w:szCs w:val="17"/>
        </w:rPr>
        <w:t>Each college/center Vice President of Instruction will coordinate a biennial review of every Career and Technical Education Program offered at his or her respective college or center. The Vice Presidents will, as nearly as possible, review half of the Career and Technical Education Programs each year. The review will ensure that each program:</w:t>
      </w:r>
    </w:p>
    <w:p w:rsidR="000932FA" w:rsidRPr="000932FA" w:rsidRDefault="000932FA" w:rsidP="000932FA">
      <w:pPr>
        <w:numPr>
          <w:ilvl w:val="0"/>
          <w:numId w:val="2"/>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0932FA">
        <w:rPr>
          <w:rFonts w:ascii="Verdana" w:eastAsia="Times New Roman" w:hAnsi="Verdana" w:cs="Times New Roman"/>
          <w:color w:val="333333"/>
          <w:sz w:val="17"/>
          <w:szCs w:val="17"/>
        </w:rPr>
        <w:t>meets a documented labor market demand;</w:t>
      </w:r>
    </w:p>
    <w:p w:rsidR="000932FA" w:rsidRPr="000932FA" w:rsidRDefault="000932FA" w:rsidP="000932FA">
      <w:pPr>
        <w:numPr>
          <w:ilvl w:val="0"/>
          <w:numId w:val="2"/>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0932FA">
        <w:rPr>
          <w:rFonts w:ascii="Verdana" w:eastAsia="Times New Roman" w:hAnsi="Verdana" w:cs="Times New Roman"/>
          <w:color w:val="333333"/>
          <w:sz w:val="17"/>
          <w:szCs w:val="17"/>
        </w:rPr>
        <w:t>does not represent an unnecessary duplication of other training programs in the area; and</w:t>
      </w:r>
    </w:p>
    <w:p w:rsidR="000932FA" w:rsidRPr="000932FA" w:rsidRDefault="000932FA" w:rsidP="000932FA">
      <w:pPr>
        <w:numPr>
          <w:ilvl w:val="0"/>
          <w:numId w:val="2"/>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proofErr w:type="gramStart"/>
      <w:r w:rsidRPr="000932FA">
        <w:rPr>
          <w:rFonts w:ascii="Verdana" w:eastAsia="Times New Roman" w:hAnsi="Verdana" w:cs="Times New Roman"/>
          <w:color w:val="333333"/>
          <w:sz w:val="17"/>
          <w:szCs w:val="17"/>
        </w:rPr>
        <w:t>is</w:t>
      </w:r>
      <w:proofErr w:type="gramEnd"/>
      <w:r w:rsidRPr="000932FA">
        <w:rPr>
          <w:rFonts w:ascii="Verdana" w:eastAsia="Times New Roman" w:hAnsi="Verdana" w:cs="Times New Roman"/>
          <w:color w:val="333333"/>
          <w:sz w:val="17"/>
          <w:szCs w:val="17"/>
        </w:rPr>
        <w:t xml:space="preserve"> of demonstrated effectiveness as measured by student employment and completion success of its students.</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inherit" w:eastAsia="Times New Roman" w:hAnsi="inherit" w:cs="Times New Roman"/>
          <w:color w:val="333333"/>
          <w:sz w:val="17"/>
          <w:szCs w:val="17"/>
        </w:rPr>
        <w:t>The review will include the review and comments by the local Workforce Investment Board. The Vice President of Instruction will recommend any program not meeting the standards above for discontinuance. The Vice Presidents’ review and recommendations, if any, will be forwarded through the Presidents/Vice Chancellor-North Centers, to the Vice Chancellor-Workforce Development and Educational Services, by April 1. The Vice Chancellor-Workforce Development and Educational Services will review and comment as appropriate, and forward the review to the Chancellor. The Board will accept and consider ratification of the review and consider adopting the recommendations at its May meeting. A written summary of the findings of each review shall be made available to the public.</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inherit" w:eastAsia="Times New Roman" w:hAnsi="inherit" w:cs="Times New Roman"/>
          <w:color w:val="333333"/>
          <w:sz w:val="17"/>
          <w:szCs w:val="17"/>
        </w:rPr>
        <w:t> </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inherit" w:eastAsia="Times New Roman" w:hAnsi="inherit" w:cs="Times New Roman"/>
          <w:color w:val="333333"/>
          <w:sz w:val="17"/>
          <w:szCs w:val="17"/>
        </w:rPr>
        <w:t> </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inherit" w:eastAsia="Times New Roman" w:hAnsi="inherit" w:cs="Times New Roman"/>
          <w:color w:val="333333"/>
          <w:sz w:val="17"/>
          <w:szCs w:val="17"/>
        </w:rPr>
        <w:t> </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inherit" w:eastAsia="Times New Roman" w:hAnsi="inherit" w:cs="Times New Roman"/>
          <w:color w:val="333333"/>
          <w:sz w:val="17"/>
          <w:szCs w:val="17"/>
        </w:rPr>
        <w:t> </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Verdana" w:eastAsia="Times New Roman" w:hAnsi="Verdana" w:cs="Times New Roman"/>
          <w:color w:val="333333"/>
          <w:sz w:val="17"/>
          <w:szCs w:val="17"/>
        </w:rPr>
        <w:br/>
      </w:r>
      <w:r w:rsidRPr="000932FA">
        <w:rPr>
          <w:rFonts w:ascii="inherit" w:eastAsia="Times New Roman" w:hAnsi="inherit" w:cs="Times New Roman"/>
          <w:color w:val="333333"/>
          <w:sz w:val="17"/>
          <w:szCs w:val="17"/>
        </w:rPr>
        <w:t>Reference: Education Code Section 78016; Title 5 Sections 51022, 55130</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inherit" w:eastAsia="Times New Roman" w:hAnsi="inherit" w:cs="Times New Roman"/>
          <w:color w:val="333333"/>
          <w:sz w:val="17"/>
          <w:szCs w:val="17"/>
        </w:rPr>
        <w:t> </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inherit" w:eastAsia="Times New Roman" w:hAnsi="inherit" w:cs="Times New Roman"/>
          <w:color w:val="333333"/>
          <w:sz w:val="17"/>
          <w:szCs w:val="17"/>
        </w:rPr>
        <w:t>Adopted by Chancellor's Cabinet: August 18, 2008</w:t>
      </w:r>
    </w:p>
    <w:p w:rsidR="000932FA" w:rsidRPr="000932FA" w:rsidRDefault="000932FA" w:rsidP="000932FA">
      <w:pPr>
        <w:shd w:val="clear" w:color="auto" w:fill="FFFFFF"/>
        <w:spacing w:after="120" w:line="240" w:lineRule="auto"/>
        <w:textAlignment w:val="top"/>
        <w:rPr>
          <w:rFonts w:ascii="inherit" w:eastAsia="Times New Roman" w:hAnsi="inherit" w:cs="Times New Roman"/>
          <w:color w:val="333333"/>
          <w:sz w:val="17"/>
          <w:szCs w:val="17"/>
        </w:rPr>
      </w:pPr>
      <w:r w:rsidRPr="000932FA">
        <w:rPr>
          <w:rFonts w:ascii="inherit" w:eastAsia="Times New Roman" w:hAnsi="inherit" w:cs="Times New Roman"/>
          <w:color w:val="333333"/>
          <w:sz w:val="17"/>
          <w:szCs w:val="17"/>
        </w:rPr>
        <w:t> </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r w:rsidRPr="000932FA">
        <w:rPr>
          <w:rFonts w:ascii="Verdana" w:eastAsia="Times New Roman" w:hAnsi="Verdana" w:cs="Times New Roman"/>
          <w:color w:val="333333"/>
          <w:sz w:val="17"/>
          <w:szCs w:val="17"/>
        </w:rPr>
        <w:br w:type="textWrapping" w:clear="all"/>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p>
    <w:p w:rsidR="00C16D85" w:rsidRPr="000932FA" w:rsidRDefault="00C16D85" w:rsidP="000932FA"/>
    <w:sectPr w:rsidR="00C16D85" w:rsidRPr="0009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3773F"/>
    <w:multiLevelType w:val="multilevel"/>
    <w:tmpl w:val="E65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EC5D7E"/>
    <w:multiLevelType w:val="multilevel"/>
    <w:tmpl w:val="0E30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12"/>
    <w:rsid w:val="000932FA"/>
    <w:rsid w:val="002B6D6D"/>
    <w:rsid w:val="005777CC"/>
    <w:rsid w:val="00B21906"/>
    <w:rsid w:val="00BD0712"/>
    <w:rsid w:val="00C1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5850C-3BC2-4F85-B54C-5F27AE4C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D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9136">
      <w:bodyDiv w:val="1"/>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7335140">
      <w:bodyDiv w:val="1"/>
      <w:marLeft w:val="0"/>
      <w:marRight w:val="0"/>
      <w:marTop w:val="0"/>
      <w:marBottom w:val="0"/>
      <w:divBdr>
        <w:top w:val="none" w:sz="0" w:space="0" w:color="auto"/>
        <w:left w:val="none" w:sz="0" w:space="0" w:color="auto"/>
        <w:bottom w:val="none" w:sz="0" w:space="0" w:color="auto"/>
        <w:right w:val="none" w:sz="0" w:space="0" w:color="auto"/>
      </w:divBdr>
      <w:divsChild>
        <w:div w:id="482547193">
          <w:marLeft w:val="0"/>
          <w:marRight w:val="0"/>
          <w:marTop w:val="0"/>
          <w:marBottom w:val="0"/>
          <w:divBdr>
            <w:top w:val="none" w:sz="0" w:space="0" w:color="auto"/>
            <w:left w:val="none" w:sz="0" w:space="0" w:color="auto"/>
            <w:bottom w:val="none" w:sz="0" w:space="0" w:color="auto"/>
            <w:right w:val="none" w:sz="0" w:space="0" w:color="auto"/>
          </w:divBdr>
          <w:divsChild>
            <w:div w:id="1897006892">
              <w:marLeft w:val="0"/>
              <w:marRight w:val="0"/>
              <w:marTop w:val="0"/>
              <w:marBottom w:val="0"/>
              <w:divBdr>
                <w:top w:val="single" w:sz="2" w:space="0" w:color="DDDDDD"/>
                <w:left w:val="single" w:sz="2" w:space="0" w:color="DDDDDD"/>
                <w:bottom w:val="single" w:sz="2" w:space="0" w:color="DDDDDD"/>
                <w:right w:val="single" w:sz="2" w:space="0" w:color="DDDDDD"/>
              </w:divBdr>
              <w:divsChild>
                <w:div w:id="370688911">
                  <w:marLeft w:val="0"/>
                  <w:marRight w:val="0"/>
                  <w:marTop w:val="0"/>
                  <w:marBottom w:val="0"/>
                  <w:divBdr>
                    <w:top w:val="none" w:sz="0" w:space="0" w:color="auto"/>
                    <w:left w:val="none" w:sz="0" w:space="0" w:color="auto"/>
                    <w:bottom w:val="none" w:sz="0" w:space="0" w:color="auto"/>
                    <w:right w:val="none" w:sz="0" w:space="0" w:color="auto"/>
                  </w:divBdr>
                  <w:divsChild>
                    <w:div w:id="1403523073">
                      <w:marLeft w:val="0"/>
                      <w:marRight w:val="0"/>
                      <w:marTop w:val="0"/>
                      <w:marBottom w:val="0"/>
                      <w:divBdr>
                        <w:top w:val="none" w:sz="0" w:space="0" w:color="auto"/>
                        <w:left w:val="none" w:sz="0" w:space="0" w:color="auto"/>
                        <w:bottom w:val="none" w:sz="0" w:space="0" w:color="auto"/>
                        <w:right w:val="none" w:sz="0" w:space="0" w:color="auto"/>
                      </w:divBdr>
                      <w:divsChild>
                        <w:div w:id="405492107">
                          <w:marLeft w:val="0"/>
                          <w:marRight w:val="0"/>
                          <w:marTop w:val="0"/>
                          <w:marBottom w:val="0"/>
                          <w:divBdr>
                            <w:top w:val="none" w:sz="0" w:space="0" w:color="auto"/>
                            <w:left w:val="none" w:sz="0" w:space="0" w:color="auto"/>
                            <w:bottom w:val="none" w:sz="0" w:space="0" w:color="auto"/>
                            <w:right w:val="none" w:sz="0" w:space="0" w:color="auto"/>
                          </w:divBdr>
                          <w:divsChild>
                            <w:div w:id="1005016694">
                              <w:marLeft w:val="0"/>
                              <w:marRight w:val="0"/>
                              <w:marTop w:val="0"/>
                              <w:marBottom w:val="0"/>
                              <w:divBdr>
                                <w:top w:val="none" w:sz="0" w:space="0" w:color="auto"/>
                                <w:left w:val="none" w:sz="0" w:space="0" w:color="auto"/>
                                <w:bottom w:val="none" w:sz="0" w:space="0" w:color="auto"/>
                                <w:right w:val="none" w:sz="0" w:space="0" w:color="auto"/>
                              </w:divBdr>
                              <w:divsChild>
                                <w:div w:id="738210557">
                                  <w:marLeft w:val="0"/>
                                  <w:marRight w:val="0"/>
                                  <w:marTop w:val="0"/>
                                  <w:marBottom w:val="0"/>
                                  <w:divBdr>
                                    <w:top w:val="none" w:sz="0" w:space="0" w:color="auto"/>
                                    <w:left w:val="none" w:sz="0" w:space="0" w:color="auto"/>
                                    <w:bottom w:val="none" w:sz="0" w:space="0" w:color="auto"/>
                                    <w:right w:val="none" w:sz="0" w:space="0" w:color="auto"/>
                                  </w:divBdr>
                                  <w:divsChild>
                                    <w:div w:id="1502499500">
                                      <w:marLeft w:val="0"/>
                                      <w:marRight w:val="0"/>
                                      <w:marTop w:val="0"/>
                                      <w:marBottom w:val="0"/>
                                      <w:divBdr>
                                        <w:top w:val="none" w:sz="0" w:space="0" w:color="auto"/>
                                        <w:left w:val="none" w:sz="0" w:space="0" w:color="auto"/>
                                        <w:bottom w:val="none" w:sz="0" w:space="0" w:color="auto"/>
                                        <w:right w:val="none" w:sz="0" w:space="0" w:color="auto"/>
                                      </w:divBdr>
                                      <w:divsChild>
                                        <w:div w:id="7663421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 w:id="750392824">
          <w:marLeft w:val="0"/>
          <w:marRight w:val="0"/>
          <w:marTop w:val="0"/>
          <w:marBottom w:val="0"/>
          <w:divBdr>
            <w:top w:val="single" w:sz="2" w:space="0" w:color="0000FF"/>
            <w:left w:val="single" w:sz="2" w:space="0" w:color="0000FF"/>
            <w:bottom w:val="single" w:sz="2" w:space="0" w:color="0000FF"/>
            <w:right w:val="single" w:sz="2" w:space="0" w:color="0000FF"/>
          </w:divBdr>
          <w:divsChild>
            <w:div w:id="636690582">
              <w:marLeft w:val="0"/>
              <w:marRight w:val="0"/>
              <w:marTop w:val="0"/>
              <w:marBottom w:val="0"/>
              <w:divBdr>
                <w:top w:val="none" w:sz="0" w:space="0" w:color="auto"/>
                <w:left w:val="none" w:sz="0" w:space="0" w:color="auto"/>
                <w:bottom w:val="none" w:sz="0" w:space="0" w:color="auto"/>
                <w:right w:val="none" w:sz="0" w:space="0" w:color="auto"/>
              </w:divBdr>
              <w:divsChild>
                <w:div w:id="19695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3703">
      <w:bodyDiv w:val="1"/>
      <w:marLeft w:val="0"/>
      <w:marRight w:val="0"/>
      <w:marTop w:val="0"/>
      <w:marBottom w:val="0"/>
      <w:divBdr>
        <w:top w:val="none" w:sz="0" w:space="0" w:color="auto"/>
        <w:left w:val="none" w:sz="0" w:space="0" w:color="auto"/>
        <w:bottom w:val="none" w:sz="0" w:space="0" w:color="auto"/>
        <w:right w:val="none" w:sz="0" w:space="0" w:color="auto"/>
      </w:divBdr>
      <w:divsChild>
        <w:div w:id="2081069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6427928">
      <w:bodyDiv w:val="1"/>
      <w:marLeft w:val="0"/>
      <w:marRight w:val="0"/>
      <w:marTop w:val="0"/>
      <w:marBottom w:val="0"/>
      <w:divBdr>
        <w:top w:val="none" w:sz="0" w:space="0" w:color="auto"/>
        <w:left w:val="none" w:sz="0" w:space="0" w:color="auto"/>
        <w:bottom w:val="none" w:sz="0" w:space="0" w:color="auto"/>
        <w:right w:val="none" w:sz="0" w:space="0" w:color="auto"/>
      </w:divBdr>
      <w:divsChild>
        <w:div w:id="9225708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Eileen Apperson</cp:lastModifiedBy>
  <cp:revision>2</cp:revision>
  <dcterms:created xsi:type="dcterms:W3CDTF">2017-10-14T19:44:00Z</dcterms:created>
  <dcterms:modified xsi:type="dcterms:W3CDTF">2017-10-14T19:44:00Z</dcterms:modified>
</cp:coreProperties>
</file>