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Pr>
          <w:rFonts w:ascii="inherit" w:eastAsia="Times New Roman" w:hAnsi="inherit" w:cs="Times New Roman"/>
          <w:b/>
          <w:bCs/>
          <w:color w:val="333333"/>
          <w:sz w:val="17"/>
          <w:szCs w:val="17"/>
          <w:u w:val="single"/>
          <w:bdr w:val="none" w:sz="0" w:space="0" w:color="auto" w:frame="1"/>
        </w:rPr>
        <w:t>BP 5500-</w:t>
      </w:r>
      <w:r w:rsidRPr="007F4F9F">
        <w:rPr>
          <w:rFonts w:ascii="inherit" w:eastAsia="Times New Roman" w:hAnsi="inherit" w:cs="Times New Roman"/>
          <w:b/>
          <w:bCs/>
          <w:color w:val="333333"/>
          <w:sz w:val="17"/>
          <w:szCs w:val="17"/>
          <w:u w:val="single"/>
          <w:bdr w:val="none" w:sz="0" w:space="0" w:color="auto" w:frame="1"/>
        </w:rPr>
        <w:t>Standards of Conduct</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Regulations shall be established for the imposition of discipline on students in accordance with the requirements for due process of the federal and state law and Regulation.</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The regulations shall clearly define the conduct that is subject to discipline, and shall identify potential disciplinary actions, including but not limited to the removal, suspension or expulsion of a student.</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The Board shall consider any recommendation from the Chancellor for expulsion.  The Board shall consider an expulsion recommendation in closed session unless the student requests that the matter be considered in a public meeting. Final action by the Board on the expulsion shall be taken at a public meeting.</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The regulations shall be made widely available to students through the college catalog and other means.</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The following conduct shall constitute good cause for discipline, including but not limited to the removal, suspension or expulsion of a student.</w:t>
      </w:r>
    </w:p>
    <w:p w:rsidR="007F4F9F" w:rsidRPr="007F4F9F" w:rsidRDefault="007F4F9F" w:rsidP="000D0AD3">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Causing, attempting to cause, or threatening to cause physical injury to another person.</w:t>
      </w:r>
      <w:r w:rsidRPr="007F4F9F">
        <w:rPr>
          <w:rFonts w:ascii="Verdana" w:eastAsia="Times New Roman" w:hAnsi="Verdana" w:cs="Times New Roman"/>
          <w:color w:val="333333"/>
          <w:sz w:val="17"/>
          <w:szCs w:val="17"/>
        </w:rPr>
        <w:br/>
      </w:r>
    </w:p>
    <w:p w:rsidR="007F4F9F" w:rsidRPr="007F4F9F" w:rsidRDefault="007F4F9F" w:rsidP="00193816">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Possession, sale or otherwise furnishing any firearm, knife, explosive or other dangerous object, including but not limited to any facsimile firearm, knife or explosive, unless, in the case of possession of any object of this type, the student has obtained written permission to possess the item from a district employee, which is concurred in by the college president.</w:t>
      </w:r>
      <w:r w:rsidRPr="007F4F9F">
        <w:rPr>
          <w:rFonts w:ascii="Verdana" w:eastAsia="Times New Roman" w:hAnsi="Verdana" w:cs="Times New Roman"/>
          <w:color w:val="333333"/>
          <w:sz w:val="17"/>
          <w:szCs w:val="17"/>
        </w:rPr>
        <w:br/>
      </w:r>
    </w:p>
    <w:p w:rsidR="007F4F9F" w:rsidRPr="007F4F9F" w:rsidRDefault="007F4F9F" w:rsidP="001F0148">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Unlawful possession, use, sale, offer to sell, or furnishing, or being under the influence of, any controlled substance listed in Chapter 2 (commencing with Section 11053) of Division 10 of the California Health and Safety Code, an alcoholic beverage, or an intoxicant of any kind; or unlawful possession of, or offering, arranging or negotiating the sale of any drug paraphernalia, as defined in California Health and Safety Code Section 11014.5.</w:t>
      </w:r>
      <w:r w:rsidRPr="007F4F9F">
        <w:rPr>
          <w:rFonts w:ascii="Verdana" w:eastAsia="Times New Roman" w:hAnsi="Verdana" w:cs="Times New Roman"/>
          <w:color w:val="333333"/>
          <w:sz w:val="17"/>
          <w:szCs w:val="17"/>
        </w:rPr>
        <w:br/>
      </w:r>
    </w:p>
    <w:p w:rsidR="007F4F9F" w:rsidRPr="007F4F9F" w:rsidRDefault="007F4F9F" w:rsidP="0045725E">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Committing or attempting to commit robbery or extortion, or gambling.</w:t>
      </w:r>
      <w:r w:rsidRPr="007F4F9F">
        <w:rPr>
          <w:rFonts w:ascii="Verdana" w:eastAsia="Times New Roman" w:hAnsi="Verdana" w:cs="Times New Roman"/>
          <w:color w:val="333333"/>
          <w:sz w:val="17"/>
          <w:szCs w:val="17"/>
        </w:rPr>
        <w:br/>
      </w:r>
    </w:p>
    <w:p w:rsidR="007F4F9F" w:rsidRPr="007F4F9F" w:rsidRDefault="007F4F9F" w:rsidP="005D090B">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Causing or attempting to cause damage to district property or to private property on campus.</w:t>
      </w:r>
      <w:r w:rsidRPr="007F4F9F">
        <w:rPr>
          <w:rFonts w:ascii="Verdana" w:eastAsia="Times New Roman" w:hAnsi="Verdana" w:cs="Times New Roman"/>
          <w:color w:val="333333"/>
          <w:sz w:val="17"/>
          <w:szCs w:val="17"/>
        </w:rPr>
        <w:br/>
      </w:r>
    </w:p>
    <w:p w:rsidR="007F4F9F" w:rsidRPr="007F4F9F" w:rsidRDefault="007F4F9F" w:rsidP="009B17C8">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Stealing or attempting to steal district property or private property on campus, or knowingly receiving stolen district property or private property on campus.</w:t>
      </w:r>
      <w:r w:rsidRPr="007F4F9F">
        <w:rPr>
          <w:rFonts w:ascii="Verdana" w:eastAsia="Times New Roman" w:hAnsi="Verdana" w:cs="Times New Roman"/>
          <w:color w:val="333333"/>
          <w:sz w:val="17"/>
          <w:szCs w:val="17"/>
        </w:rPr>
        <w:br/>
      </w:r>
    </w:p>
    <w:p w:rsidR="007F4F9F" w:rsidRPr="007F4F9F" w:rsidRDefault="007F4F9F" w:rsidP="006B0230">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Willful or persistent smoking in any area where smoking has been prohibited by law or by regulation of the college or the District.</w:t>
      </w:r>
      <w:r w:rsidRPr="007F4F9F">
        <w:rPr>
          <w:rFonts w:ascii="Verdana" w:eastAsia="Times New Roman" w:hAnsi="Verdana" w:cs="Times New Roman"/>
          <w:color w:val="333333"/>
          <w:sz w:val="17"/>
          <w:szCs w:val="17"/>
        </w:rPr>
        <w:br/>
      </w:r>
    </w:p>
    <w:p w:rsidR="007F4F9F" w:rsidRPr="007F4F9F" w:rsidRDefault="007F4F9F" w:rsidP="009565C0">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Committing sexual harassment as defined by law or by District policies and regulations.</w:t>
      </w:r>
      <w:r w:rsidRPr="007F4F9F">
        <w:rPr>
          <w:rFonts w:ascii="Verdana" w:eastAsia="Times New Roman" w:hAnsi="Verdana" w:cs="Times New Roman"/>
          <w:color w:val="333333"/>
          <w:sz w:val="17"/>
          <w:szCs w:val="17"/>
        </w:rPr>
        <w:br/>
      </w:r>
    </w:p>
    <w:p w:rsidR="007F4F9F" w:rsidRPr="007F4F9F" w:rsidRDefault="007F4F9F" w:rsidP="004E47EB">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Engaging in harassing or discriminatory behavior based on race, sex, (i.e., gender) religion, age, national origin, disability, or any other status protected by law.</w:t>
      </w:r>
      <w:r w:rsidRPr="007F4F9F">
        <w:rPr>
          <w:rFonts w:ascii="Verdana" w:eastAsia="Times New Roman" w:hAnsi="Verdana" w:cs="Times New Roman"/>
          <w:color w:val="333333"/>
          <w:sz w:val="17"/>
          <w:szCs w:val="17"/>
        </w:rPr>
        <w:br/>
      </w:r>
    </w:p>
    <w:p w:rsidR="007F4F9F" w:rsidRPr="007F4F9F" w:rsidRDefault="007F4F9F" w:rsidP="007079F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Willful misconduct which results in injury or death to a student or to college personnel or which results in cutting, defacing, or other injury to any real or personal property owned by the District or on campus.</w:t>
      </w:r>
      <w:r w:rsidRPr="007F4F9F">
        <w:rPr>
          <w:rFonts w:ascii="Verdana" w:eastAsia="Times New Roman" w:hAnsi="Verdana" w:cs="Times New Roman"/>
          <w:color w:val="333333"/>
          <w:sz w:val="17"/>
          <w:szCs w:val="17"/>
        </w:rPr>
        <w:br/>
      </w:r>
    </w:p>
    <w:p w:rsidR="007F4F9F" w:rsidRPr="007F4F9F" w:rsidRDefault="007F4F9F" w:rsidP="009E0886">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w:t>
      </w:r>
      <w:r w:rsidRPr="007F4F9F">
        <w:rPr>
          <w:rFonts w:ascii="Verdana" w:eastAsia="Times New Roman" w:hAnsi="Verdana" w:cs="Times New Roman"/>
          <w:color w:val="333333"/>
          <w:sz w:val="17"/>
          <w:szCs w:val="17"/>
        </w:rPr>
        <w:br/>
      </w:r>
    </w:p>
    <w:p w:rsidR="007F4F9F" w:rsidRPr="007F4F9F" w:rsidRDefault="007F4F9F" w:rsidP="00434D29">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Cheating, plagiarism (including plagiarism in a student publication), or engaging in other academic dishonesty.</w:t>
      </w:r>
      <w:r w:rsidRPr="007F4F9F">
        <w:rPr>
          <w:rFonts w:ascii="Verdana" w:eastAsia="Times New Roman" w:hAnsi="Verdana" w:cs="Times New Roman"/>
          <w:color w:val="333333"/>
          <w:sz w:val="17"/>
          <w:szCs w:val="17"/>
        </w:rPr>
        <w:br/>
      </w:r>
    </w:p>
    <w:p w:rsidR="007F4F9F" w:rsidRPr="007F4F9F" w:rsidRDefault="007F4F9F" w:rsidP="002B3092">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Dishonesty; forgery; alteration or misuse of college documents, records or identification; or knowingly furnishing false information to the District.</w:t>
      </w:r>
      <w:r w:rsidRPr="007F4F9F">
        <w:rPr>
          <w:rFonts w:ascii="Verdana" w:eastAsia="Times New Roman" w:hAnsi="Verdana" w:cs="Times New Roman"/>
          <w:color w:val="333333"/>
          <w:sz w:val="17"/>
          <w:szCs w:val="17"/>
        </w:rPr>
        <w:br/>
      </w:r>
    </w:p>
    <w:p w:rsidR="007F4F9F" w:rsidRDefault="007F4F9F" w:rsidP="00133BB2">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Unauthorized entry upon or use of college facilities. </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bookmarkStart w:id="0" w:name="_GoBack"/>
      <w:bookmarkEnd w:id="0"/>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lastRenderedPageBreak/>
        <w:t>Disorderly, lewd, indecent or obscene conduct on District-owned or controlled property, or at District-sponsored or supervised functions. </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br/>
      </w:r>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Engaging in expression which is obscene; libelous or slanderous; or which so incites students as to create a clear and present danger of the commission of unlawful acts on college premises, or the violation of lawful District administrative regulations, or the substantial disruption of the orderly operation of the District.</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br/>
      </w:r>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Persistent, serious misconduct where other means of correction have failed to bring about proper conduct.</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br/>
      </w:r>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Failure to comply with lawful directions of a District official performing his/her official duties.</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br/>
      </w:r>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Unauthorized preparation, giving, selling, transfer, distribution, or publication, for any commercial purpose, of any contemporaneous recording of an academic presentation in a classroom or equivalent site of instruction, including but not limited to digital or electronic recording or handwritten or typewritten class notes, except as permitted by any district policy or administrative regulation.</w:t>
      </w:r>
    </w:p>
    <w:p w:rsidR="007F4F9F" w:rsidRPr="007F4F9F" w:rsidRDefault="007F4F9F" w:rsidP="007F4F9F">
      <w:pPr>
        <w:shd w:val="clear" w:color="auto" w:fill="FFFFFF"/>
        <w:spacing w:after="0" w:line="240" w:lineRule="auto"/>
        <w:ind w:left="720"/>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br/>
      </w:r>
    </w:p>
    <w:p w:rsidR="007F4F9F" w:rsidRPr="007F4F9F" w:rsidRDefault="007F4F9F" w:rsidP="007F4F9F">
      <w:pPr>
        <w:numPr>
          <w:ilvl w:val="0"/>
          <w:numId w:val="1"/>
        </w:numPr>
        <w:shd w:val="clear" w:color="auto" w:fill="FFFFFF"/>
        <w:spacing w:after="0" w:line="240" w:lineRule="auto"/>
        <w:textAlignment w:val="top"/>
        <w:rPr>
          <w:rFonts w:ascii="Verdana" w:eastAsia="Times New Roman" w:hAnsi="Verdana" w:cs="Times New Roman"/>
          <w:color w:val="333333"/>
          <w:sz w:val="17"/>
          <w:szCs w:val="17"/>
        </w:rPr>
      </w:pPr>
      <w:r w:rsidRPr="007F4F9F">
        <w:rPr>
          <w:rFonts w:ascii="Verdana" w:eastAsia="Times New Roman" w:hAnsi="Verdana" w:cs="Times New Roman"/>
          <w:color w:val="333333"/>
          <w:sz w:val="17"/>
          <w:szCs w:val="17"/>
        </w:rPr>
        <w:t>Other good cause as shown.</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b/>
          <w:bCs/>
          <w:color w:val="333333"/>
          <w:sz w:val="24"/>
          <w:szCs w:val="24"/>
          <w:bdr w:val="none" w:sz="0" w:space="0" w:color="auto" w:frame="1"/>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See Administrative Regulation 5500</w:t>
      </w:r>
      <w:r w:rsidRPr="007F4F9F">
        <w:rPr>
          <w:rFonts w:ascii="Verdana" w:eastAsia="Times New Roman" w:hAnsi="Verdana" w:cs="Times New Roman"/>
          <w:color w:val="333333"/>
          <w:sz w:val="17"/>
          <w:szCs w:val="17"/>
        </w:rPr>
        <w:br/>
      </w:r>
      <w:r w:rsidRPr="007F4F9F">
        <w:rPr>
          <w:rFonts w:ascii="inherit" w:eastAsia="Times New Roman" w:hAnsi="inherit" w:cs="Times New Roman"/>
          <w:color w:val="333333"/>
          <w:sz w:val="17"/>
          <w:szCs w:val="17"/>
        </w:rPr>
        <w:t>References: Education Code Section 66300; Accreditation Standard II.A.7.b</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Adopted by the Governing Board: June 29, 1982; January 13, 1998; December 7, 2004</w:t>
      </w:r>
    </w:p>
    <w:p w:rsidR="007F4F9F" w:rsidRPr="007F4F9F" w:rsidRDefault="007F4F9F" w:rsidP="007F4F9F">
      <w:pPr>
        <w:shd w:val="clear" w:color="auto" w:fill="FFFFFF"/>
        <w:spacing w:after="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Revised: September 1984; July 1, 2008</w:t>
      </w:r>
    </w:p>
    <w:p w:rsidR="007F4F9F" w:rsidRPr="007F4F9F" w:rsidRDefault="007F4F9F" w:rsidP="007F4F9F">
      <w:pPr>
        <w:shd w:val="clear" w:color="auto" w:fill="FFFFFF"/>
        <w:spacing w:after="120" w:line="240" w:lineRule="auto"/>
        <w:textAlignment w:val="top"/>
        <w:rPr>
          <w:rFonts w:ascii="inherit" w:eastAsia="Times New Roman" w:hAnsi="inherit" w:cs="Times New Roman"/>
          <w:color w:val="333333"/>
          <w:sz w:val="17"/>
          <w:szCs w:val="17"/>
        </w:rPr>
      </w:pPr>
      <w:r w:rsidRPr="007F4F9F">
        <w:rPr>
          <w:rFonts w:ascii="inherit" w:eastAsia="Times New Roman" w:hAnsi="inherit" w:cs="Times New Roman"/>
          <w:color w:val="333333"/>
          <w:sz w:val="17"/>
          <w:szCs w:val="17"/>
        </w:rPr>
        <w:t> </w:t>
      </w:r>
    </w:p>
    <w:p w:rsidR="00C00E69" w:rsidRDefault="00C00E69"/>
    <w:sectPr w:rsidR="00C0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C2383"/>
    <w:multiLevelType w:val="multilevel"/>
    <w:tmpl w:val="12A6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9F"/>
    <w:rsid w:val="007F4F9F"/>
    <w:rsid w:val="00C0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DF8B-3CFB-4883-A58F-B5BC6F06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7234">
      <w:bodyDiv w:val="1"/>
      <w:marLeft w:val="0"/>
      <w:marRight w:val="0"/>
      <w:marTop w:val="0"/>
      <w:marBottom w:val="0"/>
      <w:divBdr>
        <w:top w:val="none" w:sz="0" w:space="0" w:color="auto"/>
        <w:left w:val="none" w:sz="0" w:space="0" w:color="auto"/>
        <w:bottom w:val="none" w:sz="0" w:space="0" w:color="auto"/>
        <w:right w:val="none" w:sz="0" w:space="0" w:color="auto"/>
      </w:divBdr>
      <w:divsChild>
        <w:div w:id="16703305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1</cp:revision>
  <dcterms:created xsi:type="dcterms:W3CDTF">2017-10-13T18:16:00Z</dcterms:created>
  <dcterms:modified xsi:type="dcterms:W3CDTF">2017-10-13T18:18:00Z</dcterms:modified>
</cp:coreProperties>
</file>