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b/>
          <w:bCs/>
          <w:color w:val="333333"/>
          <w:sz w:val="17"/>
          <w:szCs w:val="17"/>
          <w:u w:val="single"/>
          <w:bdr w:val="none" w:sz="0" w:space="0" w:color="auto" w:frame="1"/>
        </w:rPr>
        <w:t>AR 4020-</w:t>
      </w:r>
      <w:bookmarkStart w:id="0" w:name="_GoBack"/>
      <w:bookmarkEnd w:id="0"/>
      <w:r>
        <w:rPr>
          <w:rFonts w:ascii="inherit" w:hAnsi="inherit"/>
          <w:b/>
          <w:bCs/>
          <w:color w:val="333333"/>
          <w:sz w:val="17"/>
          <w:szCs w:val="17"/>
          <w:u w:val="single"/>
          <w:bdr w:val="none" w:sz="0" w:space="0" w:color="auto" w:frame="1"/>
        </w:rPr>
        <w:t>Program and Curriculum Development</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Faculty, staff, students and administration may suggest changes to programs and curricula. Suggestions regarding changes to curriculum will be referred to the Curriculum Committee for the respective colleges. The Curriculum Committee will forward all proposed curriculum changes to the Vice Chancellor Educational Services and Institutional Effectiveness, for consideration by the Educational Coordinating and Planning Committee (ECPC). Before the ECPC meeting, the Vice Chancellor may meet with the chairs of the Curriculum Committees, the Presidents of the Academic Senates, Vice Presidents of Students and Instruction, and interested faculty at the Pre-ECPC meeting. Per the ECPC Committee Operating Agreement (COA) the committee, will either recommend approval or disapproval of the proposed curriculum changes. The ECPC generally meets during the months of March, May, September, and November of each year. The Board will normally consider curriculum changes at its April, June, October, and December regular meetings.</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xml:space="preserve">Curriculum changes include new courses, new programs, </w:t>
      </w:r>
      <w:proofErr w:type="gramStart"/>
      <w:r>
        <w:rPr>
          <w:rFonts w:ascii="inherit" w:hAnsi="inherit"/>
          <w:color w:val="333333"/>
          <w:sz w:val="17"/>
          <w:szCs w:val="17"/>
        </w:rPr>
        <w:t>modifications</w:t>
      </w:r>
      <w:proofErr w:type="gramEnd"/>
      <w:r>
        <w:rPr>
          <w:rFonts w:ascii="inherit" w:hAnsi="inherit"/>
          <w:color w:val="333333"/>
          <w:sz w:val="17"/>
          <w:szCs w:val="17"/>
        </w:rPr>
        <w:t xml:space="preserve"> to courses, modifications to programs, deletion of courses, deletion of programs and any modality modification to courses.</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After approval for a new program has been obtained from the ECPC and the Governing Board, the material concerning a new program shall be prepared by the college concerned. Occupational certificates of 12 units or more, new options for occupational certificates and degrees and new associate degrees are first reviewed by the Central Region Consortium. All new program and program option proposals are then submitted to the California Community Colleges System Office.</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Verdana" w:hAnsi="Verdana"/>
          <w:color w:val="333333"/>
          <w:sz w:val="17"/>
          <w:szCs w:val="17"/>
        </w:rPr>
        <w:br/>
      </w:r>
      <w:r>
        <w:rPr>
          <w:rFonts w:ascii="inherit" w:hAnsi="inherit"/>
          <w:color w:val="333333"/>
          <w:sz w:val="17"/>
          <w:szCs w:val="17"/>
        </w:rPr>
        <w:t>Reference: Title 5 Sections 51021, 55000 et seq., and 55100 et seq.; Accreditation Standards II.A.</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Adopted by Chancellor's Cabinet: August 18, 2008</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ECPC: September 18, 2015</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Chancellor's Cabinet: November 9, 2015</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Communications Council: November 24, 2015</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RC College Council: December 16, 2015</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CCC College Council: February 15, 2016</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FCC Academic Senate: April 13, 2016</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Chancellor's Cabinet: May 9, 2016</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Approved by Communications Council: June 7, 2016</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2B6D6D" w:rsidRDefault="002B6D6D" w:rsidP="002B6D6D">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C16D85" w:rsidRDefault="00C16D85"/>
    <w:sectPr w:rsidR="00C1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2B6D6D"/>
    <w:rsid w:val="00B21906"/>
    <w:rsid w:val="00BD0712"/>
    <w:rsid w:val="00C1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136">
      <w:bodyDiv w:val="1"/>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2843703">
      <w:bodyDiv w:val="1"/>
      <w:marLeft w:val="0"/>
      <w:marRight w:val="0"/>
      <w:marTop w:val="0"/>
      <w:marBottom w:val="0"/>
      <w:divBdr>
        <w:top w:val="none" w:sz="0" w:space="0" w:color="auto"/>
        <w:left w:val="none" w:sz="0" w:space="0" w:color="auto"/>
        <w:bottom w:val="none" w:sz="0" w:space="0" w:color="auto"/>
        <w:right w:val="none" w:sz="0" w:space="0" w:color="auto"/>
      </w:divBdr>
      <w:divsChild>
        <w:div w:id="208106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2017-10-14T17:00:00Z</dcterms:created>
  <dcterms:modified xsi:type="dcterms:W3CDTF">2017-10-14T17:00:00Z</dcterms:modified>
</cp:coreProperties>
</file>